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7C8AE2">
      <w:pPr>
        <w:jc w:val="center"/>
        <w:outlineLvl w:val="0"/>
        <w:rPr>
          <w:rFonts w:ascii="华文中宋" w:hAnsi="华文中宋" w:eastAsia="华文中宋" w:cs="华文中宋"/>
          <w:b/>
          <w:bCs/>
          <w:sz w:val="32"/>
          <w:szCs w:val="32"/>
        </w:rPr>
      </w:pPr>
      <w:r>
        <w:rPr>
          <w:rFonts w:hint="eastAsia" w:ascii="华文中宋" w:hAnsi="华文中宋" w:eastAsia="华文中宋" w:cs="华文中宋"/>
          <w:b/>
          <w:bCs/>
          <w:sz w:val="32"/>
          <w:szCs w:val="32"/>
        </w:rPr>
        <w:t>失业保险稳岗返还操作手册</w:t>
      </w:r>
    </w:p>
    <w:p w14:paraId="39E8FC69">
      <w:pPr>
        <w:jc w:val="center"/>
        <w:outlineLvl w:val="0"/>
        <w:rPr>
          <w:rFonts w:ascii="华文中宋" w:hAnsi="华文中宋" w:eastAsia="华文中宋" w:cs="华文中宋"/>
          <w:b/>
          <w:bCs/>
          <w:sz w:val="32"/>
          <w:szCs w:val="32"/>
        </w:rPr>
      </w:pPr>
      <w:r>
        <w:rPr>
          <w:rFonts w:hint="eastAsia" w:ascii="华文中宋" w:hAnsi="华文中宋" w:eastAsia="华文中宋" w:cs="华文中宋"/>
          <w:b/>
          <w:bCs/>
          <w:sz w:val="32"/>
          <w:szCs w:val="32"/>
        </w:rPr>
        <w:t>（202</w:t>
      </w:r>
      <w:r>
        <w:rPr>
          <w:rFonts w:hint="eastAsia" w:ascii="华文中宋" w:hAnsi="华文中宋" w:eastAsia="华文中宋" w:cs="华文中宋"/>
          <w:b/>
          <w:bCs/>
          <w:sz w:val="32"/>
          <w:szCs w:val="32"/>
          <w:lang w:val="en-US" w:eastAsia="zh-CN"/>
        </w:rPr>
        <w:t>4</w:t>
      </w:r>
      <w:r>
        <w:rPr>
          <w:rFonts w:hint="eastAsia" w:ascii="华文中宋" w:hAnsi="华文中宋" w:eastAsia="华文中宋" w:cs="华文中宋"/>
          <w:b/>
          <w:bCs/>
          <w:sz w:val="32"/>
          <w:szCs w:val="32"/>
        </w:rPr>
        <w:t>年度）</w:t>
      </w:r>
    </w:p>
    <w:p w14:paraId="3A2808CF">
      <w:pPr>
        <w:rPr>
          <w:rFonts w:ascii="仿宋" w:hAnsi="仿宋" w:eastAsia="仿宋" w:cs="仿宋"/>
        </w:rPr>
      </w:pPr>
    </w:p>
    <w:p w14:paraId="138BBF1B">
      <w:pPr>
        <w:outlineLvl w:val="0"/>
        <w:rPr>
          <w:rFonts w:ascii="仿宋" w:hAnsi="仿宋" w:eastAsia="仿宋" w:cs="仿宋"/>
        </w:rPr>
      </w:pPr>
      <w:r>
        <w:rPr>
          <w:rFonts w:hint="eastAsia" w:ascii="仿宋" w:hAnsi="仿宋" w:eastAsia="仿宋" w:cs="仿宋"/>
        </w:rPr>
        <w:t>一、主动申请方式</w:t>
      </w:r>
    </w:p>
    <w:p w14:paraId="732F21FC">
      <w:pPr>
        <w:rPr>
          <w:rFonts w:ascii="仿宋" w:hAnsi="仿宋" w:eastAsia="仿宋" w:cs="仿宋"/>
        </w:rPr>
      </w:pPr>
      <w:r>
        <w:rPr>
          <w:rFonts w:hint="eastAsia" w:ascii="仿宋" w:hAnsi="仿宋" w:eastAsia="仿宋" w:cs="仿宋"/>
        </w:rPr>
        <w:t>（一）单位网厅登录</w:t>
      </w:r>
    </w:p>
    <w:p w14:paraId="36A64356">
      <w:pPr>
        <w:pStyle w:val="3"/>
        <w:spacing w:before="0" w:after="0" w:line="240" w:lineRule="auto"/>
        <w:rPr>
          <w:rFonts w:hint="eastAsia" w:ascii="仿宋" w:hAnsi="仿宋" w:eastAsia="仿宋" w:cs="仿宋"/>
          <w:b w:val="0"/>
          <w:bCs w:val="0"/>
          <w:sz w:val="21"/>
          <w:szCs w:val="24"/>
          <w:lang w:eastAsia="zh-CN"/>
        </w:rPr>
      </w:pPr>
      <w:r>
        <w:rPr>
          <w:rFonts w:hint="eastAsia" w:ascii="仿宋" w:hAnsi="仿宋" w:eastAsia="仿宋" w:cs="仿宋"/>
          <w:b w:val="0"/>
          <w:bCs w:val="0"/>
          <w:sz w:val="21"/>
          <w:szCs w:val="24"/>
          <w:lang w:val="en-US" w:eastAsia="zh-CN"/>
        </w:rPr>
        <w:t>1</w:t>
      </w:r>
      <w:r>
        <w:rPr>
          <w:rFonts w:hint="eastAsia" w:ascii="仿宋" w:hAnsi="仿宋" w:eastAsia="仿宋" w:cs="仿宋"/>
          <w:b w:val="0"/>
          <w:bCs w:val="0"/>
          <w:sz w:val="21"/>
          <w:szCs w:val="24"/>
        </w:rPr>
        <w:t>.</w:t>
      </w:r>
      <w:r>
        <w:rPr>
          <w:rFonts w:hint="eastAsia" w:ascii="仿宋" w:hAnsi="仿宋" w:eastAsia="仿宋" w:cs="仿宋"/>
          <w:b w:val="0"/>
          <w:bCs w:val="0"/>
          <w:sz w:val="21"/>
          <w:szCs w:val="24"/>
          <w:lang w:eastAsia="zh-CN"/>
        </w:rPr>
        <w:t>用户注册</w:t>
      </w:r>
    </w:p>
    <w:p w14:paraId="32F29977">
      <w:pPr>
        <w:numPr>
          <w:ilvl w:val="0"/>
          <w:numId w:val="0"/>
        </w:numPr>
        <w:spacing w:before="156" w:after="156"/>
      </w:pPr>
      <w:r>
        <w:rPr>
          <w:rFonts w:hint="eastAsia"/>
          <w:lang w:eastAsia="zh-CN"/>
        </w:rPr>
        <w:t>（</w:t>
      </w:r>
      <w:r>
        <w:rPr>
          <w:rFonts w:hint="eastAsia"/>
          <w:lang w:val="en-US" w:eastAsia="zh-CN"/>
        </w:rPr>
        <w:t>1</w:t>
      </w:r>
      <w:r>
        <w:rPr>
          <w:rFonts w:hint="eastAsia"/>
          <w:lang w:eastAsia="zh-CN"/>
        </w:rPr>
        <w:t>）</w:t>
      </w:r>
      <w:r>
        <w:rPr>
          <w:rFonts w:hint="eastAsia"/>
        </w:rPr>
        <w:t>通过单位办事通道进入河南省社会保障服务大厅，首先点击“马上注册”链接，进行</w:t>
      </w:r>
      <w:r>
        <w:t>单位注册开通</w:t>
      </w:r>
      <w:r>
        <w:rPr>
          <w:rFonts w:hint="eastAsia"/>
        </w:rPr>
        <w:t>单位社保</w:t>
      </w:r>
      <w:r>
        <w:t>网上</w:t>
      </w:r>
      <w:r>
        <w:rPr>
          <w:rFonts w:hint="eastAsia"/>
        </w:rPr>
        <w:t>服务；</w:t>
      </w:r>
    </w:p>
    <w:p w14:paraId="60D1699C">
      <w:pPr>
        <w:spacing w:before="156" w:after="156"/>
        <w:ind w:firstLine="0" w:firstLineChars="0"/>
      </w:pPr>
      <w:r>
        <w:drawing>
          <wp:inline distT="0" distB="0" distL="114300" distR="114300">
            <wp:extent cx="5256530" cy="2405380"/>
            <wp:effectExtent l="0" t="0" r="127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56530" cy="2405380"/>
                    </a:xfrm>
                    <a:prstGeom prst="rect">
                      <a:avLst/>
                    </a:prstGeom>
                    <a:noFill/>
                    <a:ln>
                      <a:noFill/>
                    </a:ln>
                  </pic:spPr>
                </pic:pic>
              </a:graphicData>
            </a:graphic>
          </wp:inline>
        </w:drawing>
      </w:r>
    </w:p>
    <w:p w14:paraId="2CBBCC66">
      <w:pPr>
        <w:numPr>
          <w:ilvl w:val="0"/>
          <w:numId w:val="0"/>
        </w:numPr>
        <w:spacing w:before="156" w:after="156"/>
        <w:rPr>
          <w:rFonts w:hint="eastAsia"/>
        </w:rPr>
      </w:pPr>
      <w:r>
        <w:rPr>
          <w:rFonts w:hint="eastAsia"/>
          <w:lang w:eastAsia="zh-CN"/>
        </w:rPr>
        <w:t>（</w:t>
      </w:r>
      <w:r>
        <w:rPr>
          <w:rFonts w:hint="eastAsia"/>
          <w:lang w:val="en-US" w:eastAsia="zh-CN"/>
        </w:rPr>
        <w:t>2</w:t>
      </w:r>
      <w:r>
        <w:rPr>
          <w:rFonts w:hint="eastAsia"/>
          <w:lang w:eastAsia="zh-CN"/>
        </w:rPr>
        <w:t>）</w:t>
      </w:r>
      <w:r>
        <w:rPr>
          <w:rFonts w:hint="eastAsia"/>
        </w:rPr>
        <w:t>填入对应注册信息，勾选“注册协议”，点击【开通单位</w:t>
      </w:r>
      <w:r>
        <w:t>网上服务</w:t>
      </w:r>
      <w:r>
        <w:rPr>
          <w:rFonts w:hint="eastAsia"/>
        </w:rPr>
        <w:t>】按钮，完成注册，到相关CA公司领取CA证书（如仅使用免数字证书方式登录，可不办理CA证书）。</w:t>
      </w:r>
    </w:p>
    <w:p w14:paraId="2BB6CE76">
      <w:pPr>
        <w:spacing w:before="156" w:after="156"/>
        <w:ind w:firstLine="0" w:firstLineChars="0"/>
      </w:pPr>
    </w:p>
    <w:p w14:paraId="3F2FAD8A">
      <w:pPr>
        <w:spacing w:before="156" w:after="156"/>
        <w:ind w:firstLine="0" w:firstLineChars="0"/>
        <w:rPr>
          <w:rFonts w:hint="eastAsia"/>
        </w:rPr>
      </w:pPr>
      <w:r>
        <w:drawing>
          <wp:inline distT="0" distB="0" distL="114300" distR="114300">
            <wp:extent cx="5279390" cy="3039745"/>
            <wp:effectExtent l="0" t="0" r="8890" b="825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6"/>
                    <a:stretch>
                      <a:fillRect/>
                    </a:stretch>
                  </pic:blipFill>
                  <pic:spPr>
                    <a:xfrm>
                      <a:off x="0" y="0"/>
                      <a:ext cx="5279390" cy="3039745"/>
                    </a:xfrm>
                    <a:prstGeom prst="rect">
                      <a:avLst/>
                    </a:prstGeom>
                    <a:noFill/>
                    <a:ln>
                      <a:noFill/>
                    </a:ln>
                  </pic:spPr>
                </pic:pic>
              </a:graphicData>
            </a:graphic>
          </wp:inline>
        </w:drawing>
      </w:r>
    </w:p>
    <w:p w14:paraId="38A31F70">
      <w:pPr>
        <w:rPr>
          <w:rFonts w:hint="eastAsia"/>
          <w:lang w:val="en-US" w:eastAsia="zh-CN"/>
        </w:rPr>
      </w:pPr>
      <w:r>
        <w:rPr>
          <w:rFonts w:hint="eastAsia"/>
          <w:lang w:val="en-US" w:eastAsia="zh-CN"/>
        </w:rPr>
        <w:t>2.用户登录</w:t>
      </w:r>
    </w:p>
    <w:p w14:paraId="33029DCC">
      <w:pPr>
        <w:pStyle w:val="3"/>
        <w:spacing w:before="0" w:after="0" w:line="240" w:lineRule="auto"/>
        <w:ind w:firstLine="420" w:firstLineChars="200"/>
        <w:rPr>
          <w:rFonts w:hint="eastAsia" w:ascii="仿宋" w:hAnsi="仿宋" w:eastAsia="仿宋" w:cs="仿宋"/>
          <w:b w:val="0"/>
          <w:bCs w:val="0"/>
          <w:sz w:val="21"/>
          <w:szCs w:val="24"/>
        </w:rPr>
      </w:pPr>
      <w:r>
        <w:rPr>
          <w:rFonts w:hint="eastAsia" w:ascii="仿宋" w:hAnsi="仿宋" w:eastAsia="仿宋" w:cs="仿宋"/>
          <w:b w:val="0"/>
          <w:bCs w:val="0"/>
          <w:sz w:val="21"/>
          <w:szCs w:val="24"/>
          <w:lang w:eastAsia="zh-CN"/>
        </w:rPr>
        <w:t>（</w:t>
      </w:r>
      <w:r>
        <w:rPr>
          <w:rFonts w:hint="eastAsia" w:ascii="仿宋" w:hAnsi="仿宋" w:eastAsia="仿宋" w:cs="仿宋"/>
          <w:b w:val="0"/>
          <w:bCs w:val="0"/>
          <w:sz w:val="21"/>
          <w:szCs w:val="24"/>
          <w:lang w:val="en-US" w:eastAsia="zh-CN"/>
        </w:rPr>
        <w:t>1</w:t>
      </w:r>
      <w:r>
        <w:rPr>
          <w:rFonts w:hint="eastAsia" w:ascii="仿宋" w:hAnsi="仿宋" w:eastAsia="仿宋" w:cs="仿宋"/>
          <w:b w:val="0"/>
          <w:bCs w:val="0"/>
          <w:sz w:val="21"/>
          <w:szCs w:val="24"/>
          <w:lang w:eastAsia="zh-CN"/>
        </w:rPr>
        <w:t>）登录地址。</w:t>
      </w:r>
      <w:r>
        <w:rPr>
          <w:rFonts w:hint="eastAsia" w:ascii="仿宋" w:hAnsi="仿宋" w:eastAsia="仿宋" w:cs="仿宋"/>
          <w:b w:val="0"/>
          <w:bCs w:val="0"/>
          <w:sz w:val="21"/>
          <w:szCs w:val="24"/>
        </w:rPr>
        <w:t>输入网址进入河南省社会保障网上服务平台，网址地址：https:// siwsfw.hrss.henan.gov.cn</w:t>
      </w:r>
    </w:p>
    <w:p w14:paraId="17BB9BC6">
      <w:pPr>
        <w:pStyle w:val="3"/>
        <w:spacing w:before="0" w:after="0" w:line="240" w:lineRule="auto"/>
        <w:ind w:firstLine="420" w:firstLineChars="200"/>
        <w:rPr>
          <w:rFonts w:hint="eastAsia" w:ascii="仿宋" w:hAnsi="仿宋" w:eastAsia="仿宋" w:cs="仿宋"/>
          <w:b w:val="0"/>
          <w:bCs w:val="0"/>
          <w:sz w:val="21"/>
          <w:szCs w:val="24"/>
        </w:rPr>
      </w:pPr>
      <w:r>
        <w:rPr>
          <w:rFonts w:hint="eastAsia" w:ascii="仿宋" w:hAnsi="仿宋" w:eastAsia="仿宋" w:cs="仿宋"/>
          <w:b w:val="0"/>
          <w:bCs w:val="0"/>
          <w:sz w:val="21"/>
          <w:szCs w:val="24"/>
        </w:rPr>
        <w:t>如果首次使用UKey登录社保单位网上服务大厅，需要先下载并安装对应的CA客户端驱动软件。</w:t>
      </w:r>
    </w:p>
    <w:p w14:paraId="060D7FAE">
      <w:pPr>
        <w:pStyle w:val="3"/>
        <w:spacing w:before="0" w:after="0" w:line="240" w:lineRule="auto"/>
        <w:ind w:firstLine="420" w:firstLineChars="200"/>
        <w:rPr>
          <w:rFonts w:hint="eastAsia" w:ascii="仿宋" w:hAnsi="仿宋" w:eastAsia="仿宋" w:cs="仿宋"/>
          <w:b w:val="0"/>
          <w:bCs w:val="0"/>
          <w:sz w:val="21"/>
          <w:szCs w:val="24"/>
        </w:rPr>
      </w:pPr>
      <w:r>
        <w:rPr>
          <w:rFonts w:hint="eastAsia" w:ascii="仿宋" w:hAnsi="仿宋" w:eastAsia="仿宋" w:cs="仿宋"/>
          <w:b w:val="0"/>
          <w:bCs w:val="0"/>
          <w:sz w:val="21"/>
          <w:szCs w:val="24"/>
        </w:rPr>
        <w:t>证书：插入CA提供的UKey后，选择相应单位的证书，获取对应单位信息；</w:t>
      </w:r>
    </w:p>
    <w:p w14:paraId="3B828F5A">
      <w:pPr>
        <w:pStyle w:val="3"/>
        <w:spacing w:before="0" w:after="0" w:line="240" w:lineRule="auto"/>
        <w:ind w:firstLine="420" w:firstLineChars="200"/>
        <w:rPr>
          <w:rFonts w:hint="eastAsia" w:ascii="仿宋" w:hAnsi="仿宋" w:eastAsia="仿宋" w:cs="仿宋"/>
          <w:b w:val="0"/>
          <w:bCs w:val="0"/>
          <w:sz w:val="21"/>
          <w:szCs w:val="24"/>
        </w:rPr>
      </w:pPr>
      <w:r>
        <w:rPr>
          <w:rFonts w:hint="eastAsia" w:ascii="仿宋" w:hAnsi="仿宋" w:eastAsia="仿宋" w:cs="仿宋"/>
          <w:b w:val="0"/>
          <w:bCs w:val="0"/>
          <w:sz w:val="21"/>
          <w:szCs w:val="24"/>
        </w:rPr>
        <w:t>密码：CA提供的UKey密码；</w:t>
      </w:r>
    </w:p>
    <w:p w14:paraId="37FE8BDB">
      <w:pPr>
        <w:spacing w:before="156" w:after="156"/>
        <w:ind w:firstLine="0" w:firstLineChars="0"/>
      </w:pPr>
      <w:r>
        <w:drawing>
          <wp:inline distT="0" distB="0" distL="114300" distR="114300">
            <wp:extent cx="5256530" cy="2405380"/>
            <wp:effectExtent l="0" t="0" r="1270" b="254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7"/>
                    <a:stretch>
                      <a:fillRect/>
                    </a:stretch>
                  </pic:blipFill>
                  <pic:spPr>
                    <a:xfrm>
                      <a:off x="0" y="0"/>
                      <a:ext cx="5256530" cy="2405380"/>
                    </a:xfrm>
                    <a:prstGeom prst="rect">
                      <a:avLst/>
                    </a:prstGeom>
                    <a:noFill/>
                    <a:ln>
                      <a:noFill/>
                    </a:ln>
                  </pic:spPr>
                </pic:pic>
              </a:graphicData>
            </a:graphic>
          </wp:inline>
        </w:drawing>
      </w:r>
    </w:p>
    <w:p w14:paraId="2DB6BB0C">
      <w:pPr>
        <w:spacing w:before="156" w:after="156"/>
        <w:ind w:firstLine="0" w:firstLineChars="0"/>
        <w:rPr>
          <w:rFonts w:hint="eastAsia"/>
        </w:rPr>
      </w:pPr>
      <w:r>
        <w:tab/>
      </w:r>
      <w:r>
        <w:rPr>
          <w:rFonts w:hint="eastAsia"/>
        </w:rPr>
        <w:t>如果使用免数字证书登录</w:t>
      </w:r>
      <w:r>
        <w:t>社保单位网上服务大厅</w:t>
      </w:r>
      <w:r>
        <w:rPr>
          <w:rFonts w:hint="eastAsia"/>
        </w:rPr>
        <w:t>，需要点击“免数字证书登录”链接，录入单位统一社会信用代码以及验证码的方式进行登录。</w:t>
      </w:r>
    </w:p>
    <w:p w14:paraId="45AA6A3C">
      <w:pPr>
        <w:spacing w:before="156" w:after="156"/>
        <w:ind w:firstLine="0" w:firstLineChars="0"/>
        <w:rPr>
          <w:rFonts w:hint="eastAsia"/>
        </w:rPr>
      </w:pPr>
      <w:r>
        <w:drawing>
          <wp:inline distT="0" distB="0" distL="114300" distR="114300">
            <wp:extent cx="5256530" cy="2405380"/>
            <wp:effectExtent l="0" t="0" r="1270" b="254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8"/>
                    <a:stretch>
                      <a:fillRect/>
                    </a:stretch>
                  </pic:blipFill>
                  <pic:spPr>
                    <a:xfrm>
                      <a:off x="0" y="0"/>
                      <a:ext cx="5256530" cy="2405380"/>
                    </a:xfrm>
                    <a:prstGeom prst="rect">
                      <a:avLst/>
                    </a:prstGeom>
                    <a:noFill/>
                    <a:ln>
                      <a:noFill/>
                    </a:ln>
                  </pic:spPr>
                </pic:pic>
              </a:graphicData>
            </a:graphic>
          </wp:inline>
        </w:drawing>
      </w:r>
    </w:p>
    <w:p w14:paraId="148A304A">
      <w:pPr>
        <w:numPr>
          <w:ilvl w:val="0"/>
          <w:numId w:val="0"/>
        </w:numPr>
        <w:spacing w:before="156" w:after="156"/>
        <w:rPr>
          <w:rFonts w:hint="eastAsia"/>
        </w:rPr>
      </w:pPr>
      <w:r>
        <w:rPr>
          <w:rFonts w:hint="eastAsia"/>
          <w:lang w:val="en-US" w:eastAsia="zh-CN"/>
        </w:rPr>
        <w:t>（2）</w:t>
      </w:r>
      <w:r>
        <w:rPr>
          <w:rFonts w:hint="eastAsia"/>
        </w:rPr>
        <w:t>首次登录单位</w:t>
      </w:r>
      <w:r>
        <w:t>网上服务大厅</w:t>
      </w:r>
      <w:r>
        <w:rPr>
          <w:rFonts w:hint="eastAsia"/>
        </w:rPr>
        <w:t>需要先进行</w:t>
      </w:r>
      <w:r>
        <w:t>注册</w:t>
      </w:r>
      <w:r>
        <w:rPr>
          <w:rFonts w:hint="eastAsia"/>
        </w:rPr>
        <w:t>管理员用户信息。管理员用户用于</w:t>
      </w:r>
      <w:r>
        <w:t>管理</w:t>
      </w:r>
      <w:r>
        <w:rPr>
          <w:rFonts w:hint="eastAsia"/>
        </w:rPr>
        <w:t>可登录系统</w:t>
      </w:r>
      <w:r>
        <w:t>的操作员</w:t>
      </w:r>
      <w:r>
        <w:rPr>
          <w:rFonts w:hint="eastAsia"/>
        </w:rPr>
        <w:t>以及</w:t>
      </w:r>
      <w:r>
        <w:t>设置</w:t>
      </w:r>
      <w:r>
        <w:rPr>
          <w:rFonts w:hint="eastAsia"/>
        </w:rPr>
        <w:t>内部</w:t>
      </w:r>
      <w:r>
        <w:t>单位</w:t>
      </w:r>
      <w:r>
        <w:rPr>
          <w:rFonts w:hint="eastAsia"/>
        </w:rPr>
        <w:t>，对于设置内部管理功能的参保单位，管理员用户可对</w:t>
      </w:r>
      <w:r>
        <w:t>操作员进行授权也可</w:t>
      </w:r>
      <w:r>
        <w:rPr>
          <w:rFonts w:hint="eastAsia"/>
        </w:rPr>
        <w:t>设置</w:t>
      </w:r>
      <w:r>
        <w:t>内部单位信息，</w:t>
      </w:r>
      <w:r>
        <w:rPr>
          <w:rFonts w:hint="eastAsia"/>
        </w:rPr>
        <w:t>对于没有设置内部管理功能的参保单位，管理员用户默认自动</w:t>
      </w:r>
      <w:r>
        <w:t>登录</w:t>
      </w:r>
      <w:r>
        <w:rPr>
          <w:rFonts w:hint="eastAsia"/>
        </w:rPr>
        <w:t>。</w:t>
      </w:r>
    </w:p>
    <w:p w14:paraId="0A402011">
      <w:pPr>
        <w:spacing w:before="156" w:after="156"/>
        <w:ind w:firstLine="0" w:firstLineChars="0"/>
      </w:pPr>
      <w:r>
        <w:drawing>
          <wp:inline distT="0" distB="0" distL="114300" distR="114300">
            <wp:extent cx="5274310" cy="2994025"/>
            <wp:effectExtent l="0" t="0" r="13970" b="825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9"/>
                    <a:stretch>
                      <a:fillRect/>
                    </a:stretch>
                  </pic:blipFill>
                  <pic:spPr>
                    <a:xfrm>
                      <a:off x="0" y="0"/>
                      <a:ext cx="5274310" cy="2994025"/>
                    </a:xfrm>
                    <a:prstGeom prst="rect">
                      <a:avLst/>
                    </a:prstGeom>
                    <a:noFill/>
                    <a:ln>
                      <a:noFill/>
                    </a:ln>
                  </pic:spPr>
                </pic:pic>
              </a:graphicData>
            </a:graphic>
          </wp:inline>
        </w:drawing>
      </w:r>
    </w:p>
    <w:p w14:paraId="797D217F">
      <w:pPr>
        <w:spacing w:before="156" w:after="156"/>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如果使用免数字证书方式注册的用户首次登录单位</w:t>
      </w:r>
      <w:r>
        <w:t>网上服务大厅</w:t>
      </w:r>
      <w:r>
        <w:rPr>
          <w:rFonts w:hint="eastAsia"/>
        </w:rPr>
        <w:t>，注册管理员用户时，注册页面中的联系手机号码为自动获取社保经办机构认证过的手机号码。</w:t>
      </w:r>
      <w:r>
        <w:rPr>
          <w:rFonts w:hint="eastAsia"/>
          <w:b/>
          <w:bCs/>
          <w:color w:val="FF0000"/>
          <w:sz w:val="32"/>
          <w:szCs w:val="32"/>
          <w:lang w:eastAsia="zh-CN"/>
        </w:rPr>
        <w:t>认证需要参保单位到线下业务大厅办理。</w:t>
      </w:r>
    </w:p>
    <w:p w14:paraId="3146825D">
      <w:pPr>
        <w:numPr>
          <w:ilvl w:val="0"/>
          <w:numId w:val="1"/>
        </w:numPr>
        <w:rPr>
          <w:rFonts w:ascii="仿宋" w:hAnsi="仿宋" w:eastAsia="仿宋" w:cs="仿宋"/>
        </w:rPr>
      </w:pPr>
      <w:r>
        <w:rPr>
          <w:rFonts w:hint="eastAsia" w:ascii="仿宋" w:hAnsi="仿宋" w:eastAsia="仿宋" w:cs="仿宋"/>
        </w:rPr>
        <w:t>单位网厅“稳岗返还申请”</w:t>
      </w:r>
    </w:p>
    <w:p w14:paraId="7903E760">
      <w:pPr>
        <w:rPr>
          <w:rFonts w:ascii="仿宋" w:hAnsi="仿宋" w:eastAsia="仿宋" w:cs="仿宋"/>
        </w:rPr>
      </w:pPr>
      <w:r>
        <w:rPr>
          <w:rFonts w:hint="eastAsia" w:ascii="仿宋" w:hAnsi="仿宋" w:eastAsia="仿宋" w:cs="仿宋"/>
        </w:rPr>
        <w:t>1.登录单位网厅成功后首页选择“单位业务”</w:t>
      </w:r>
    </w:p>
    <w:p w14:paraId="25D0338E">
      <w:pPr>
        <w:rPr>
          <w:rFonts w:ascii="仿宋" w:hAnsi="仿宋" w:eastAsia="仿宋" w:cs="仿宋"/>
        </w:rPr>
      </w:pPr>
      <w:r>
        <w:drawing>
          <wp:inline distT="0" distB="0" distL="114300" distR="114300">
            <wp:extent cx="6489700" cy="2767330"/>
            <wp:effectExtent l="0" t="0" r="2540" b="6350"/>
            <wp:docPr id="66" name="图片 1" descr="1581908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descr="1581908886"/>
                    <pic:cNvPicPr>
                      <a:picLocks noChangeAspect="1"/>
                    </pic:cNvPicPr>
                  </pic:nvPicPr>
                  <pic:blipFill>
                    <a:blip r:embed="rId10"/>
                    <a:stretch>
                      <a:fillRect/>
                    </a:stretch>
                  </pic:blipFill>
                  <pic:spPr>
                    <a:xfrm>
                      <a:off x="0" y="0"/>
                      <a:ext cx="6489700" cy="2767330"/>
                    </a:xfrm>
                    <a:prstGeom prst="rect">
                      <a:avLst/>
                    </a:prstGeom>
                    <a:noFill/>
                    <a:ln>
                      <a:noFill/>
                    </a:ln>
                  </pic:spPr>
                </pic:pic>
              </a:graphicData>
            </a:graphic>
          </wp:inline>
        </w:drawing>
      </w:r>
    </w:p>
    <w:p w14:paraId="3F5694CB">
      <w:pPr>
        <w:rPr>
          <w:rFonts w:ascii="仿宋" w:hAnsi="仿宋" w:eastAsia="仿宋" w:cs="仿宋"/>
        </w:rPr>
      </w:pPr>
      <w:r>
        <w:rPr>
          <w:rFonts w:hint="eastAsia" w:ascii="仿宋" w:hAnsi="仿宋" w:eastAsia="仿宋" w:cs="仿宋"/>
        </w:rPr>
        <w:t>2.选择“稳岗返还申请”模块</w:t>
      </w:r>
    </w:p>
    <w:p w14:paraId="77971126">
      <w:pPr>
        <w:rPr>
          <w:rFonts w:ascii="仿宋" w:hAnsi="仿宋" w:eastAsia="仿宋" w:cs="仿宋"/>
        </w:rPr>
      </w:pPr>
      <w:r>
        <w:drawing>
          <wp:inline distT="0" distB="0" distL="0" distR="0">
            <wp:extent cx="6508115" cy="3001645"/>
            <wp:effectExtent l="0" t="0" r="14605" b="635"/>
            <wp:docPr id="336118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18105" name="图片 1"/>
                    <pic:cNvPicPr>
                      <a:picLocks noChangeAspect="1"/>
                    </pic:cNvPicPr>
                  </pic:nvPicPr>
                  <pic:blipFill>
                    <a:blip r:embed="rId11"/>
                    <a:stretch>
                      <a:fillRect/>
                    </a:stretch>
                  </pic:blipFill>
                  <pic:spPr>
                    <a:xfrm>
                      <a:off x="0" y="0"/>
                      <a:ext cx="6508115" cy="3001645"/>
                    </a:xfrm>
                    <a:prstGeom prst="rect">
                      <a:avLst/>
                    </a:prstGeom>
                  </pic:spPr>
                </pic:pic>
              </a:graphicData>
            </a:graphic>
          </wp:inline>
        </w:drawing>
      </w:r>
    </w:p>
    <w:p w14:paraId="7979E419">
      <w:pPr>
        <w:rPr>
          <w:rFonts w:ascii="仿宋" w:hAnsi="仿宋" w:eastAsia="仿宋" w:cs="仿宋"/>
        </w:rPr>
      </w:pPr>
    </w:p>
    <w:p w14:paraId="543098AE">
      <w:pPr>
        <w:rPr>
          <w:rFonts w:ascii="仿宋" w:hAnsi="仿宋" w:eastAsia="仿宋" w:cs="仿宋"/>
        </w:rPr>
      </w:pPr>
      <w:r>
        <w:rPr>
          <w:rFonts w:hint="eastAsia" w:ascii="仿宋" w:hAnsi="仿宋" w:eastAsia="仿宋" w:cs="仿宋"/>
        </w:rPr>
        <w:t>3.根据提示维护申请信息</w:t>
      </w:r>
    </w:p>
    <w:p w14:paraId="675E1FF4">
      <w:pPr>
        <w:jc w:val="center"/>
        <w:rPr>
          <w:rFonts w:hint="eastAsia" w:ascii="仿宋" w:hAnsi="仿宋" w:eastAsia="仿宋" w:cs="仿宋"/>
          <w:lang w:eastAsia="zh-CN"/>
        </w:rPr>
      </w:pPr>
      <w:r>
        <w:rPr>
          <w:rFonts w:hint="eastAsia" w:ascii="仿宋" w:hAnsi="仿宋" w:eastAsia="仿宋" w:cs="仿宋"/>
          <w:lang w:eastAsia="zh-CN"/>
        </w:rPr>
        <w:drawing>
          <wp:inline distT="0" distB="0" distL="114300" distR="114300">
            <wp:extent cx="4730115" cy="4096385"/>
            <wp:effectExtent l="0" t="0" r="9525" b="3175"/>
            <wp:docPr id="3" name="图片 3" descr="e94a4c3629be6075dd29f4b0c2c9b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94a4c3629be6075dd29f4b0c2c9b25"/>
                    <pic:cNvPicPr>
                      <a:picLocks noChangeAspect="1"/>
                    </pic:cNvPicPr>
                  </pic:nvPicPr>
                  <pic:blipFill>
                    <a:blip r:embed="rId12"/>
                    <a:srcRect b="4570"/>
                    <a:stretch>
                      <a:fillRect/>
                    </a:stretch>
                  </pic:blipFill>
                  <pic:spPr>
                    <a:xfrm>
                      <a:off x="0" y="0"/>
                      <a:ext cx="4730115" cy="4096385"/>
                    </a:xfrm>
                    <a:prstGeom prst="rect">
                      <a:avLst/>
                    </a:prstGeom>
                  </pic:spPr>
                </pic:pic>
              </a:graphicData>
            </a:graphic>
          </wp:inline>
        </w:drawing>
      </w:r>
    </w:p>
    <w:p w14:paraId="4DF49826">
      <w:pPr>
        <w:ind w:firstLine="420" w:firstLineChars="200"/>
        <w:jc w:val="left"/>
        <w:rPr>
          <w:rFonts w:hint="eastAsia" w:ascii="仿宋" w:hAnsi="仿宋" w:eastAsia="仿宋" w:cs="仿宋"/>
          <w:lang w:eastAsia="zh-CN"/>
        </w:rPr>
      </w:pPr>
      <w:r>
        <w:rPr>
          <w:rFonts w:hint="eastAsia" w:ascii="仿宋" w:hAnsi="仿宋" w:eastAsia="仿宋" w:cs="仿宋"/>
          <w:color w:val="FF0000"/>
          <w:szCs w:val="24"/>
        </w:rPr>
        <w:t>“确认信息栏”增加企业划型标记。页面标红提醒内容增加：“企业划型信息与返还比例和返还资金额相关联，请认真核对！”</w:t>
      </w:r>
    </w:p>
    <w:p w14:paraId="20FCBE31">
      <w:pPr>
        <w:rPr>
          <w:rFonts w:ascii="仿宋" w:hAnsi="仿宋" w:eastAsia="仿宋" w:cs="仿宋"/>
        </w:rPr>
      </w:pPr>
      <w:r>
        <w:rPr>
          <w:rFonts w:hint="eastAsia" w:ascii="仿宋" w:hAnsi="仿宋" w:eastAsia="仿宋" w:cs="仿宋"/>
        </w:rPr>
        <w:t>4</w:t>
      </w:r>
      <w:r>
        <w:rPr>
          <w:rFonts w:ascii="仿宋" w:hAnsi="仿宋" w:eastAsia="仿宋" w:cs="仿宋"/>
        </w:rPr>
        <w:t>.</w:t>
      </w:r>
      <w:r>
        <w:rPr>
          <w:rFonts w:hint="eastAsia" w:ascii="仿宋" w:hAnsi="仿宋" w:eastAsia="仿宋" w:cs="仿宋"/>
        </w:rPr>
        <w:t>选择左下角“</w:t>
      </w:r>
      <w:r>
        <w:rPr>
          <w:rFonts w:ascii="仿宋" w:hAnsi="仿宋" w:eastAsia="仿宋" w:cs="仿宋"/>
        </w:rPr>
        <w:t>请认真阅读河南省稳岗返还资金用途告知</w:t>
      </w:r>
      <w:r>
        <w:rPr>
          <w:rFonts w:hint="eastAsia" w:ascii="仿宋" w:hAnsi="仿宋" w:eastAsia="仿宋" w:cs="仿宋"/>
        </w:rPr>
        <w:t>”，弹屏资金用途告知。</w:t>
      </w:r>
    </w:p>
    <w:p w14:paraId="1B191C85">
      <w:pPr>
        <w:rPr>
          <w:rFonts w:ascii="仿宋" w:hAnsi="仿宋" w:eastAsia="仿宋" w:cs="仿宋"/>
        </w:rPr>
      </w:pPr>
      <w:r>
        <w:drawing>
          <wp:inline distT="0" distB="0" distL="0" distR="0">
            <wp:extent cx="6036945" cy="4208145"/>
            <wp:effectExtent l="0" t="0" r="13335" b="13335"/>
            <wp:docPr id="3087750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75044" name="图片 1"/>
                    <pic:cNvPicPr>
                      <a:picLocks noChangeAspect="1"/>
                    </pic:cNvPicPr>
                  </pic:nvPicPr>
                  <pic:blipFill>
                    <a:blip r:embed="rId13"/>
                    <a:stretch>
                      <a:fillRect/>
                    </a:stretch>
                  </pic:blipFill>
                  <pic:spPr>
                    <a:xfrm>
                      <a:off x="0" y="0"/>
                      <a:ext cx="6036945" cy="4208145"/>
                    </a:xfrm>
                    <a:prstGeom prst="rect">
                      <a:avLst/>
                    </a:prstGeom>
                  </pic:spPr>
                </pic:pic>
              </a:graphicData>
            </a:graphic>
          </wp:inline>
        </w:drawing>
      </w:r>
    </w:p>
    <w:p w14:paraId="2D67CF11">
      <w:pPr>
        <w:rPr>
          <w:rFonts w:ascii="仿宋" w:hAnsi="仿宋" w:eastAsia="仿宋" w:cs="仿宋"/>
        </w:rPr>
      </w:pPr>
      <w:r>
        <w:rPr>
          <w:rFonts w:ascii="仿宋" w:hAnsi="仿宋" w:eastAsia="仿宋" w:cs="仿宋"/>
        </w:rPr>
        <w:t>5</w:t>
      </w:r>
      <w:r>
        <w:rPr>
          <w:rFonts w:hint="eastAsia" w:ascii="仿宋" w:hAnsi="仿宋" w:eastAsia="仿宋" w:cs="仿宋"/>
        </w:rPr>
        <w:t>.录入完成检查无误，点击“保存”，下一步可选择是否上传电子材料</w:t>
      </w:r>
    </w:p>
    <w:p w14:paraId="027F9439">
      <w:pPr>
        <w:rPr>
          <w:rFonts w:ascii="仿宋" w:hAnsi="仿宋" w:eastAsia="仿宋" w:cs="仿宋"/>
        </w:rPr>
      </w:pPr>
      <w:r>
        <w:drawing>
          <wp:inline distT="0" distB="0" distL="0" distR="0">
            <wp:extent cx="6645910" cy="3401695"/>
            <wp:effectExtent l="0" t="0" r="13970" b="12065"/>
            <wp:docPr id="15766091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09197" name="图片 1"/>
                    <pic:cNvPicPr>
                      <a:picLocks noChangeAspect="1"/>
                    </pic:cNvPicPr>
                  </pic:nvPicPr>
                  <pic:blipFill>
                    <a:blip r:embed="rId14"/>
                    <a:stretch>
                      <a:fillRect/>
                    </a:stretch>
                  </pic:blipFill>
                  <pic:spPr>
                    <a:xfrm>
                      <a:off x="0" y="0"/>
                      <a:ext cx="6645910" cy="3401695"/>
                    </a:xfrm>
                    <a:prstGeom prst="rect">
                      <a:avLst/>
                    </a:prstGeom>
                  </pic:spPr>
                </pic:pic>
              </a:graphicData>
            </a:graphic>
          </wp:inline>
        </w:drawing>
      </w:r>
    </w:p>
    <w:p w14:paraId="73660866">
      <w:pPr>
        <w:rPr>
          <w:rFonts w:ascii="仿宋" w:hAnsi="仿宋" w:eastAsia="仿宋" w:cs="仿宋"/>
        </w:rPr>
      </w:pPr>
      <w:r>
        <w:rPr>
          <w:rFonts w:ascii="仿宋" w:hAnsi="仿宋" w:eastAsia="仿宋" w:cs="仿宋"/>
        </w:rPr>
        <w:t>6</w:t>
      </w:r>
      <w:r>
        <w:rPr>
          <w:rFonts w:hint="eastAsia" w:ascii="仿宋" w:hAnsi="仿宋" w:eastAsia="仿宋" w:cs="仿宋"/>
        </w:rPr>
        <w:t>.选择“采集电子材料”可选择是否上传材料</w:t>
      </w:r>
    </w:p>
    <w:p w14:paraId="2C5D2C04">
      <w:r>
        <w:drawing>
          <wp:inline distT="0" distB="0" distL="0" distR="0">
            <wp:extent cx="6645910" cy="3081655"/>
            <wp:effectExtent l="0" t="0" r="2540" b="4445"/>
            <wp:docPr id="17018414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41440" name="图片 1"/>
                    <pic:cNvPicPr>
                      <a:picLocks noChangeAspect="1"/>
                    </pic:cNvPicPr>
                  </pic:nvPicPr>
                  <pic:blipFill>
                    <a:blip r:embed="rId15"/>
                    <a:stretch>
                      <a:fillRect/>
                    </a:stretch>
                  </pic:blipFill>
                  <pic:spPr>
                    <a:xfrm>
                      <a:off x="0" y="0"/>
                      <a:ext cx="6645910" cy="3081655"/>
                    </a:xfrm>
                    <a:prstGeom prst="rect">
                      <a:avLst/>
                    </a:prstGeom>
                  </pic:spPr>
                </pic:pic>
              </a:graphicData>
            </a:graphic>
          </wp:inline>
        </w:drawing>
      </w:r>
    </w:p>
    <w:p w14:paraId="0D6E62B5">
      <w:pPr>
        <w:rPr>
          <w:rFonts w:ascii="仿宋" w:hAnsi="仿宋" w:eastAsia="仿宋" w:cs="仿宋"/>
        </w:rPr>
      </w:pPr>
      <w:r>
        <w:drawing>
          <wp:inline distT="0" distB="0" distL="0" distR="0">
            <wp:extent cx="6645910" cy="3018155"/>
            <wp:effectExtent l="0" t="0" r="2540" b="0"/>
            <wp:docPr id="2433831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83132" name="图片 1"/>
                    <pic:cNvPicPr>
                      <a:picLocks noChangeAspect="1"/>
                    </pic:cNvPicPr>
                  </pic:nvPicPr>
                  <pic:blipFill>
                    <a:blip r:embed="rId16"/>
                    <a:stretch>
                      <a:fillRect/>
                    </a:stretch>
                  </pic:blipFill>
                  <pic:spPr>
                    <a:xfrm>
                      <a:off x="0" y="0"/>
                      <a:ext cx="6645910" cy="3018155"/>
                    </a:xfrm>
                    <a:prstGeom prst="rect">
                      <a:avLst/>
                    </a:prstGeom>
                  </pic:spPr>
                </pic:pic>
              </a:graphicData>
            </a:graphic>
          </wp:inline>
        </w:drawing>
      </w:r>
    </w:p>
    <w:p w14:paraId="5ECD77A5">
      <w:pPr>
        <w:rPr>
          <w:rFonts w:ascii="仿宋" w:hAnsi="仿宋" w:eastAsia="仿宋" w:cs="仿宋"/>
        </w:rPr>
      </w:pPr>
      <w:r>
        <w:rPr>
          <w:rFonts w:ascii="仿宋" w:hAnsi="仿宋" w:eastAsia="仿宋" w:cs="仿宋"/>
        </w:rPr>
        <w:t>7</w:t>
      </w:r>
      <w:r>
        <w:rPr>
          <w:rFonts w:hint="eastAsia" w:ascii="仿宋" w:hAnsi="仿宋" w:eastAsia="仿宋" w:cs="仿宋"/>
        </w:rPr>
        <w:t>.对申报信息核查无误后，返回首页，在“我的待提交业务”中进行业务申报。</w:t>
      </w:r>
    </w:p>
    <w:p w14:paraId="0B73D022">
      <w:pPr>
        <w:rPr>
          <w:rFonts w:ascii="仿宋" w:hAnsi="仿宋" w:eastAsia="仿宋" w:cs="仿宋"/>
        </w:rPr>
      </w:pPr>
      <w:r>
        <w:drawing>
          <wp:inline distT="0" distB="0" distL="0" distR="0">
            <wp:extent cx="6645910" cy="2795270"/>
            <wp:effectExtent l="0" t="0" r="2540" b="5080"/>
            <wp:docPr id="7170107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10784" name="图片 1"/>
                    <pic:cNvPicPr>
                      <a:picLocks noChangeAspect="1"/>
                    </pic:cNvPicPr>
                  </pic:nvPicPr>
                  <pic:blipFill>
                    <a:blip r:embed="rId17"/>
                    <a:stretch>
                      <a:fillRect/>
                    </a:stretch>
                  </pic:blipFill>
                  <pic:spPr>
                    <a:xfrm>
                      <a:off x="0" y="0"/>
                      <a:ext cx="6645910" cy="2795270"/>
                    </a:xfrm>
                    <a:prstGeom prst="rect">
                      <a:avLst/>
                    </a:prstGeom>
                  </pic:spPr>
                </pic:pic>
              </a:graphicData>
            </a:graphic>
          </wp:inline>
        </w:drawing>
      </w:r>
    </w:p>
    <w:p w14:paraId="75045DFF">
      <w:pPr>
        <w:rPr>
          <w:rFonts w:ascii="仿宋" w:hAnsi="仿宋" w:eastAsia="仿宋" w:cs="仿宋"/>
        </w:rPr>
      </w:pPr>
      <w:r>
        <w:drawing>
          <wp:inline distT="0" distB="0" distL="0" distR="0">
            <wp:extent cx="6645910" cy="2809240"/>
            <wp:effectExtent l="0" t="0" r="2540" b="0"/>
            <wp:docPr id="19631571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57140" name="图片 1"/>
                    <pic:cNvPicPr>
                      <a:picLocks noChangeAspect="1"/>
                    </pic:cNvPicPr>
                  </pic:nvPicPr>
                  <pic:blipFill>
                    <a:blip r:embed="rId18"/>
                    <a:stretch>
                      <a:fillRect/>
                    </a:stretch>
                  </pic:blipFill>
                  <pic:spPr>
                    <a:xfrm>
                      <a:off x="0" y="0"/>
                      <a:ext cx="6645910" cy="2809240"/>
                    </a:xfrm>
                    <a:prstGeom prst="rect">
                      <a:avLst/>
                    </a:prstGeom>
                  </pic:spPr>
                </pic:pic>
              </a:graphicData>
            </a:graphic>
          </wp:inline>
        </w:drawing>
      </w:r>
    </w:p>
    <w:p w14:paraId="439701F0">
      <w:pPr>
        <w:rPr>
          <w:rFonts w:ascii="仿宋" w:hAnsi="仿宋" w:eastAsia="仿宋" w:cs="仿宋"/>
        </w:rPr>
      </w:pPr>
      <w:r>
        <w:rPr>
          <w:rFonts w:ascii="仿宋" w:hAnsi="仿宋" w:eastAsia="仿宋" w:cs="仿宋"/>
        </w:rPr>
        <w:t>8</w:t>
      </w:r>
      <w:r>
        <w:rPr>
          <w:rFonts w:hint="eastAsia" w:ascii="仿宋" w:hAnsi="仿宋" w:eastAsia="仿宋" w:cs="仿宋"/>
        </w:rPr>
        <w:t>.提交成功后可在“办理进度查询”查看业务审核办理进度</w:t>
      </w:r>
    </w:p>
    <w:p w14:paraId="1332293C">
      <w:pPr>
        <w:rPr>
          <w:rFonts w:ascii="仿宋" w:hAnsi="仿宋" w:eastAsia="仿宋" w:cs="仿宋"/>
        </w:rPr>
      </w:pPr>
      <w:r>
        <w:drawing>
          <wp:inline distT="0" distB="0" distL="0" distR="0">
            <wp:extent cx="6645910" cy="2801620"/>
            <wp:effectExtent l="0" t="0" r="2540" b="0"/>
            <wp:docPr id="3070264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26417" name="图片 1"/>
                    <pic:cNvPicPr>
                      <a:picLocks noChangeAspect="1"/>
                    </pic:cNvPicPr>
                  </pic:nvPicPr>
                  <pic:blipFill>
                    <a:blip r:embed="rId19"/>
                    <a:stretch>
                      <a:fillRect/>
                    </a:stretch>
                  </pic:blipFill>
                  <pic:spPr>
                    <a:xfrm>
                      <a:off x="0" y="0"/>
                      <a:ext cx="6645910" cy="2801620"/>
                    </a:xfrm>
                    <a:prstGeom prst="rect">
                      <a:avLst/>
                    </a:prstGeom>
                  </pic:spPr>
                </pic:pic>
              </a:graphicData>
            </a:graphic>
          </wp:inline>
        </w:drawing>
      </w:r>
    </w:p>
    <w:p w14:paraId="74F1E76B">
      <w:pPr>
        <w:rPr>
          <w:rFonts w:ascii="仿宋" w:hAnsi="仿宋" w:eastAsia="仿宋" w:cs="仿宋"/>
        </w:rPr>
      </w:pPr>
      <w:r>
        <w:drawing>
          <wp:inline distT="0" distB="0" distL="0" distR="0">
            <wp:extent cx="6645910" cy="3028950"/>
            <wp:effectExtent l="0" t="0" r="2540" b="0"/>
            <wp:docPr id="19495247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24735" name="图片 1"/>
                    <pic:cNvPicPr>
                      <a:picLocks noChangeAspect="1"/>
                    </pic:cNvPicPr>
                  </pic:nvPicPr>
                  <pic:blipFill>
                    <a:blip r:embed="rId20"/>
                    <a:stretch>
                      <a:fillRect/>
                    </a:stretch>
                  </pic:blipFill>
                  <pic:spPr>
                    <a:xfrm>
                      <a:off x="0" y="0"/>
                      <a:ext cx="6645910" cy="3028950"/>
                    </a:xfrm>
                    <a:prstGeom prst="rect">
                      <a:avLst/>
                    </a:prstGeom>
                  </pic:spPr>
                </pic:pic>
              </a:graphicData>
            </a:graphic>
          </wp:inline>
        </w:drawing>
      </w:r>
      <w:bookmarkStart w:id="0" w:name="_GoBack"/>
      <w:bookmarkEnd w:id="0"/>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Courier">
    <w:panose1 w:val="02060409020205020404"/>
    <w:charset w:val="00"/>
    <w:family w:val="auto"/>
    <w:pitch w:val="default"/>
    <w:sig w:usb0="00000000" w:usb1="00000000" w:usb2="00000000" w:usb3="00000000" w:csb0="0000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DCECB">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5152B">
                          <w:pPr>
                            <w:pStyle w:val="7"/>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2DA5152B">
                    <w:pPr>
                      <w:pStyle w:val="7"/>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5BCB60"/>
    <w:multiLevelType w:val="singleLevel"/>
    <w:tmpl w:val="055BCB60"/>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JmOTdmNTk2OTI5NDYwMGNiMWEyMDNhY2IzMDk2MzIifQ=="/>
  </w:docVars>
  <w:rsids>
    <w:rsidRoot w:val="00C71A35"/>
    <w:rsid w:val="00057F5D"/>
    <w:rsid w:val="000936F0"/>
    <w:rsid w:val="002828D5"/>
    <w:rsid w:val="00284E34"/>
    <w:rsid w:val="003606BD"/>
    <w:rsid w:val="00391AFD"/>
    <w:rsid w:val="00400BE2"/>
    <w:rsid w:val="00403D9D"/>
    <w:rsid w:val="00431F3B"/>
    <w:rsid w:val="00580D77"/>
    <w:rsid w:val="00641A50"/>
    <w:rsid w:val="00656E55"/>
    <w:rsid w:val="006643E9"/>
    <w:rsid w:val="006B1DBD"/>
    <w:rsid w:val="0073338C"/>
    <w:rsid w:val="007A27F7"/>
    <w:rsid w:val="00933513"/>
    <w:rsid w:val="00936913"/>
    <w:rsid w:val="009A1B30"/>
    <w:rsid w:val="009F3E31"/>
    <w:rsid w:val="00AB2977"/>
    <w:rsid w:val="00B0131B"/>
    <w:rsid w:val="00B07A0A"/>
    <w:rsid w:val="00B64CD2"/>
    <w:rsid w:val="00BA1A14"/>
    <w:rsid w:val="00BC3803"/>
    <w:rsid w:val="00C123DA"/>
    <w:rsid w:val="00C71A35"/>
    <w:rsid w:val="00CB0446"/>
    <w:rsid w:val="00CD33CB"/>
    <w:rsid w:val="00D52569"/>
    <w:rsid w:val="00D818F2"/>
    <w:rsid w:val="00DD42F7"/>
    <w:rsid w:val="00E01958"/>
    <w:rsid w:val="00EB09CF"/>
    <w:rsid w:val="011C2F07"/>
    <w:rsid w:val="012B766D"/>
    <w:rsid w:val="0151659D"/>
    <w:rsid w:val="01640874"/>
    <w:rsid w:val="01F304E1"/>
    <w:rsid w:val="023A6BEF"/>
    <w:rsid w:val="02CD186A"/>
    <w:rsid w:val="02E238FC"/>
    <w:rsid w:val="03311B3B"/>
    <w:rsid w:val="03B97823"/>
    <w:rsid w:val="04E351EB"/>
    <w:rsid w:val="05580004"/>
    <w:rsid w:val="05890A24"/>
    <w:rsid w:val="05BF20E9"/>
    <w:rsid w:val="06791442"/>
    <w:rsid w:val="06963085"/>
    <w:rsid w:val="07353992"/>
    <w:rsid w:val="075A0A77"/>
    <w:rsid w:val="07651243"/>
    <w:rsid w:val="08291EBF"/>
    <w:rsid w:val="083C5A84"/>
    <w:rsid w:val="084606B0"/>
    <w:rsid w:val="089D649D"/>
    <w:rsid w:val="089E421C"/>
    <w:rsid w:val="08C4770B"/>
    <w:rsid w:val="08F81AF9"/>
    <w:rsid w:val="094C39A6"/>
    <w:rsid w:val="096B020A"/>
    <w:rsid w:val="097F2CCF"/>
    <w:rsid w:val="09A87A78"/>
    <w:rsid w:val="0B3B3D9A"/>
    <w:rsid w:val="0B686C03"/>
    <w:rsid w:val="0C19177D"/>
    <w:rsid w:val="0C26185A"/>
    <w:rsid w:val="0DCF1E4A"/>
    <w:rsid w:val="0E741EB3"/>
    <w:rsid w:val="10253330"/>
    <w:rsid w:val="10493548"/>
    <w:rsid w:val="10DC77C9"/>
    <w:rsid w:val="11522CB3"/>
    <w:rsid w:val="11874D14"/>
    <w:rsid w:val="119B7765"/>
    <w:rsid w:val="11D32DA7"/>
    <w:rsid w:val="123B498E"/>
    <w:rsid w:val="12B23875"/>
    <w:rsid w:val="133D15BD"/>
    <w:rsid w:val="13A06E8B"/>
    <w:rsid w:val="13F61FF2"/>
    <w:rsid w:val="146F19BA"/>
    <w:rsid w:val="15204125"/>
    <w:rsid w:val="15AF560D"/>
    <w:rsid w:val="161E50BB"/>
    <w:rsid w:val="164B66A6"/>
    <w:rsid w:val="16E759A6"/>
    <w:rsid w:val="181A5221"/>
    <w:rsid w:val="18627EDD"/>
    <w:rsid w:val="18940CBC"/>
    <w:rsid w:val="194934EE"/>
    <w:rsid w:val="19900E6E"/>
    <w:rsid w:val="1CA067A4"/>
    <w:rsid w:val="1CB34F83"/>
    <w:rsid w:val="1CBC1C87"/>
    <w:rsid w:val="1D4C51DB"/>
    <w:rsid w:val="1D7F2728"/>
    <w:rsid w:val="1DDE7C68"/>
    <w:rsid w:val="1E6A2B89"/>
    <w:rsid w:val="1E7001A9"/>
    <w:rsid w:val="1F056076"/>
    <w:rsid w:val="1F752CC0"/>
    <w:rsid w:val="20085A02"/>
    <w:rsid w:val="200B7386"/>
    <w:rsid w:val="200D0299"/>
    <w:rsid w:val="202A45A6"/>
    <w:rsid w:val="206028C2"/>
    <w:rsid w:val="20C64550"/>
    <w:rsid w:val="20D96EFA"/>
    <w:rsid w:val="21931CB2"/>
    <w:rsid w:val="21FD569F"/>
    <w:rsid w:val="22605918"/>
    <w:rsid w:val="22F26B90"/>
    <w:rsid w:val="239B6240"/>
    <w:rsid w:val="256A0CB3"/>
    <w:rsid w:val="259B0511"/>
    <w:rsid w:val="26022107"/>
    <w:rsid w:val="26265313"/>
    <w:rsid w:val="269508FC"/>
    <w:rsid w:val="26B175A5"/>
    <w:rsid w:val="26EB26FF"/>
    <w:rsid w:val="271E5080"/>
    <w:rsid w:val="275903F8"/>
    <w:rsid w:val="27F069E3"/>
    <w:rsid w:val="292078CA"/>
    <w:rsid w:val="29A107B0"/>
    <w:rsid w:val="29F9410A"/>
    <w:rsid w:val="2A211FF1"/>
    <w:rsid w:val="2A6A525E"/>
    <w:rsid w:val="2A9D36CA"/>
    <w:rsid w:val="2AC506F3"/>
    <w:rsid w:val="2B6451E6"/>
    <w:rsid w:val="2B913160"/>
    <w:rsid w:val="2CF151B7"/>
    <w:rsid w:val="2D490186"/>
    <w:rsid w:val="2D566AB5"/>
    <w:rsid w:val="2D875433"/>
    <w:rsid w:val="2DD35F8C"/>
    <w:rsid w:val="2DEB116A"/>
    <w:rsid w:val="2DF40698"/>
    <w:rsid w:val="2F6A72D7"/>
    <w:rsid w:val="2F8A04F2"/>
    <w:rsid w:val="30312549"/>
    <w:rsid w:val="307C1454"/>
    <w:rsid w:val="312548EA"/>
    <w:rsid w:val="32501C72"/>
    <w:rsid w:val="32935879"/>
    <w:rsid w:val="33A865C8"/>
    <w:rsid w:val="33FB785E"/>
    <w:rsid w:val="342E5538"/>
    <w:rsid w:val="346A39E7"/>
    <w:rsid w:val="34CC1E61"/>
    <w:rsid w:val="35561D97"/>
    <w:rsid w:val="355D3727"/>
    <w:rsid w:val="35D40DAF"/>
    <w:rsid w:val="36100BB3"/>
    <w:rsid w:val="366D3C96"/>
    <w:rsid w:val="369C76C7"/>
    <w:rsid w:val="372E76B8"/>
    <w:rsid w:val="379235F2"/>
    <w:rsid w:val="38B71ED4"/>
    <w:rsid w:val="39224D8D"/>
    <w:rsid w:val="39A95DFB"/>
    <w:rsid w:val="3ABF62C0"/>
    <w:rsid w:val="3B1A064F"/>
    <w:rsid w:val="3C207EDD"/>
    <w:rsid w:val="3C4D06E8"/>
    <w:rsid w:val="3CB46418"/>
    <w:rsid w:val="3CC2600C"/>
    <w:rsid w:val="3CEF12A8"/>
    <w:rsid w:val="3D5231C4"/>
    <w:rsid w:val="3D5415F6"/>
    <w:rsid w:val="3D9A025B"/>
    <w:rsid w:val="3DF77F70"/>
    <w:rsid w:val="3E5019EA"/>
    <w:rsid w:val="3E560FA6"/>
    <w:rsid w:val="3F381A52"/>
    <w:rsid w:val="41417A54"/>
    <w:rsid w:val="41A55B15"/>
    <w:rsid w:val="41EF19A2"/>
    <w:rsid w:val="421E3274"/>
    <w:rsid w:val="422D24CC"/>
    <w:rsid w:val="425B5E56"/>
    <w:rsid w:val="42771782"/>
    <w:rsid w:val="42F27D13"/>
    <w:rsid w:val="433B1AC3"/>
    <w:rsid w:val="43EA39D1"/>
    <w:rsid w:val="444B69B0"/>
    <w:rsid w:val="44CD071B"/>
    <w:rsid w:val="45B95455"/>
    <w:rsid w:val="45EB53FB"/>
    <w:rsid w:val="463965B1"/>
    <w:rsid w:val="47F92430"/>
    <w:rsid w:val="480A04F9"/>
    <w:rsid w:val="48417884"/>
    <w:rsid w:val="48EE5C11"/>
    <w:rsid w:val="4ABA5EDF"/>
    <w:rsid w:val="4AD60C78"/>
    <w:rsid w:val="4AF944C0"/>
    <w:rsid w:val="4B5333D2"/>
    <w:rsid w:val="4B7650E2"/>
    <w:rsid w:val="4BD55DAB"/>
    <w:rsid w:val="4C9717E8"/>
    <w:rsid w:val="4CBF5C1D"/>
    <w:rsid w:val="4CD82E6A"/>
    <w:rsid w:val="4E134878"/>
    <w:rsid w:val="4E6125BC"/>
    <w:rsid w:val="4EA94048"/>
    <w:rsid w:val="4EF20E3F"/>
    <w:rsid w:val="4F373D4A"/>
    <w:rsid w:val="50512143"/>
    <w:rsid w:val="51057A09"/>
    <w:rsid w:val="517244BB"/>
    <w:rsid w:val="51EA21AC"/>
    <w:rsid w:val="52A53621"/>
    <w:rsid w:val="52FD3439"/>
    <w:rsid w:val="531C6F70"/>
    <w:rsid w:val="539E20EF"/>
    <w:rsid w:val="53A37986"/>
    <w:rsid w:val="54C0349F"/>
    <w:rsid w:val="54F407B2"/>
    <w:rsid w:val="55067122"/>
    <w:rsid w:val="55537A8F"/>
    <w:rsid w:val="55622573"/>
    <w:rsid w:val="55B071BE"/>
    <w:rsid w:val="56946CF1"/>
    <w:rsid w:val="571E2A29"/>
    <w:rsid w:val="57342B3C"/>
    <w:rsid w:val="57C04BAA"/>
    <w:rsid w:val="57D347C2"/>
    <w:rsid w:val="57EF7FB3"/>
    <w:rsid w:val="583D3EF4"/>
    <w:rsid w:val="586838DD"/>
    <w:rsid w:val="58971EC1"/>
    <w:rsid w:val="58C35A4A"/>
    <w:rsid w:val="58FD436B"/>
    <w:rsid w:val="590E04C1"/>
    <w:rsid w:val="59683172"/>
    <w:rsid w:val="5A034E4C"/>
    <w:rsid w:val="5A667459"/>
    <w:rsid w:val="5BB316E5"/>
    <w:rsid w:val="5C3B7DB7"/>
    <w:rsid w:val="5C49391E"/>
    <w:rsid w:val="5CE46282"/>
    <w:rsid w:val="5D0021C3"/>
    <w:rsid w:val="5D140F1A"/>
    <w:rsid w:val="5D1A2F55"/>
    <w:rsid w:val="5D4B0ADF"/>
    <w:rsid w:val="5D5816D8"/>
    <w:rsid w:val="5DCA7FAD"/>
    <w:rsid w:val="5E857877"/>
    <w:rsid w:val="5EC6240B"/>
    <w:rsid w:val="5F162A82"/>
    <w:rsid w:val="5FB428AD"/>
    <w:rsid w:val="61071F20"/>
    <w:rsid w:val="6174262E"/>
    <w:rsid w:val="622E70BF"/>
    <w:rsid w:val="62304AF7"/>
    <w:rsid w:val="62460ABD"/>
    <w:rsid w:val="62ED3EE3"/>
    <w:rsid w:val="63C05E67"/>
    <w:rsid w:val="63FE3F46"/>
    <w:rsid w:val="64E76575"/>
    <w:rsid w:val="64EA386B"/>
    <w:rsid w:val="65441B36"/>
    <w:rsid w:val="655E492A"/>
    <w:rsid w:val="657B29A6"/>
    <w:rsid w:val="65C314CA"/>
    <w:rsid w:val="65D57DBE"/>
    <w:rsid w:val="65EA5F2D"/>
    <w:rsid w:val="665B69CA"/>
    <w:rsid w:val="66757D2C"/>
    <w:rsid w:val="66C94E49"/>
    <w:rsid w:val="683100BB"/>
    <w:rsid w:val="685E6966"/>
    <w:rsid w:val="69524006"/>
    <w:rsid w:val="6A34131D"/>
    <w:rsid w:val="6A3C3101"/>
    <w:rsid w:val="6A82754B"/>
    <w:rsid w:val="6AD420E6"/>
    <w:rsid w:val="6B1F76F7"/>
    <w:rsid w:val="6D03046B"/>
    <w:rsid w:val="6D08578E"/>
    <w:rsid w:val="6DB931CC"/>
    <w:rsid w:val="6DD47E68"/>
    <w:rsid w:val="6DEF0276"/>
    <w:rsid w:val="6E6C1A11"/>
    <w:rsid w:val="6E6F16E7"/>
    <w:rsid w:val="6E9A1157"/>
    <w:rsid w:val="6EAB2EBF"/>
    <w:rsid w:val="6EC84A02"/>
    <w:rsid w:val="6FDD5C61"/>
    <w:rsid w:val="6FFA6F69"/>
    <w:rsid w:val="70A14BBC"/>
    <w:rsid w:val="710D4F19"/>
    <w:rsid w:val="715313FC"/>
    <w:rsid w:val="71CA0846"/>
    <w:rsid w:val="723A77CE"/>
    <w:rsid w:val="724F6079"/>
    <w:rsid w:val="72675D21"/>
    <w:rsid w:val="727727D0"/>
    <w:rsid w:val="73AC571E"/>
    <w:rsid w:val="73CB1062"/>
    <w:rsid w:val="74CC4880"/>
    <w:rsid w:val="75027563"/>
    <w:rsid w:val="75150CD9"/>
    <w:rsid w:val="75255610"/>
    <w:rsid w:val="75546842"/>
    <w:rsid w:val="756A1766"/>
    <w:rsid w:val="75C642BF"/>
    <w:rsid w:val="77386C0C"/>
    <w:rsid w:val="77C421A3"/>
    <w:rsid w:val="782842E9"/>
    <w:rsid w:val="796C09F8"/>
    <w:rsid w:val="799043B8"/>
    <w:rsid w:val="799D347E"/>
    <w:rsid w:val="79C96978"/>
    <w:rsid w:val="7A3871B4"/>
    <w:rsid w:val="7A674811"/>
    <w:rsid w:val="7AEC59B3"/>
    <w:rsid w:val="7BCB5585"/>
    <w:rsid w:val="7CB47242"/>
    <w:rsid w:val="7CC32C63"/>
    <w:rsid w:val="7E6E60F6"/>
    <w:rsid w:val="7EC23A1D"/>
    <w:rsid w:val="7EDE0355"/>
    <w:rsid w:val="7FBF351C"/>
    <w:rsid w:val="7FFA57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9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3"/>
    <w:unhideWhenUsed/>
    <w:qFormat/>
    <w:uiPriority w:val="0"/>
    <w:pPr>
      <w:keepNext/>
      <w:keepLines/>
      <w:spacing w:before="260" w:after="260" w:line="416" w:lineRule="auto"/>
      <w:outlineLvl w:val="1"/>
    </w:pPr>
    <w:rPr>
      <w:rFonts w:ascii="Calibri Light" w:hAnsi="Calibri Light" w:eastAsia="宋体" w:cs="Times New Roman"/>
      <w:b/>
      <w:bCs/>
      <w:sz w:val="32"/>
      <w:szCs w:val="32"/>
    </w:rPr>
  </w:style>
  <w:style w:type="paragraph" w:styleId="4">
    <w:name w:val="heading 3"/>
    <w:basedOn w:val="1"/>
    <w:next w:val="1"/>
    <w:link w:val="24"/>
    <w:unhideWhenUsed/>
    <w:qFormat/>
    <w:uiPriority w:val="0"/>
    <w:pPr>
      <w:keepNext/>
      <w:keepLines/>
      <w:spacing w:before="260" w:after="260" w:line="416" w:lineRule="auto"/>
      <w:outlineLvl w:val="2"/>
    </w:pPr>
    <w:rPr>
      <w:b/>
      <w:bCs/>
      <w:sz w:val="32"/>
      <w:szCs w:val="32"/>
    </w:rPr>
  </w:style>
  <w:style w:type="paragraph" w:styleId="5">
    <w:name w:val="heading 4"/>
    <w:basedOn w:val="1"/>
    <w:next w:val="1"/>
    <w:unhideWhenUsed/>
    <w:qFormat/>
    <w:uiPriority w:val="0"/>
    <w:pPr>
      <w:keepNext/>
      <w:keepLines/>
      <w:spacing w:before="280" w:after="290" w:line="376" w:lineRule="auto"/>
      <w:outlineLvl w:val="3"/>
    </w:pPr>
    <w:rPr>
      <w:rFonts w:ascii="Calibri Light" w:hAnsi="Calibri Light" w:eastAsia="宋体" w:cs="Times New Roman"/>
      <w:b/>
      <w:bCs/>
      <w:sz w:val="28"/>
      <w:szCs w:val="28"/>
    </w:rPr>
  </w:style>
  <w:style w:type="paragraph" w:styleId="6">
    <w:name w:val="heading 5"/>
    <w:basedOn w:val="1"/>
    <w:next w:val="1"/>
    <w:unhideWhenUsed/>
    <w:qFormat/>
    <w:uiPriority w:val="0"/>
    <w:pPr>
      <w:keepNext/>
      <w:keepLines/>
      <w:spacing w:before="280" w:after="290" w:line="376" w:lineRule="auto"/>
      <w:outlineLvl w:val="4"/>
    </w:pPr>
    <w:rPr>
      <w:b/>
      <w:bCs/>
      <w:sz w:val="28"/>
      <w:szCs w:val="28"/>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footnote text"/>
    <w:basedOn w:val="1"/>
    <w:link w:val="25"/>
    <w:qFormat/>
    <w:uiPriority w:val="99"/>
    <w:pPr>
      <w:snapToGrid w:val="0"/>
      <w:jc w:val="left"/>
    </w:pPr>
    <w:rPr>
      <w:rFonts w:ascii="Times New Roman" w:hAnsi="Times New Roman" w:eastAsia="宋体" w:cs="Times New Roman"/>
      <w:szCs w:val="22"/>
    </w:rPr>
  </w:style>
  <w:style w:type="character" w:styleId="12">
    <w:name w:val="Strong"/>
    <w:basedOn w:val="11"/>
    <w:qFormat/>
    <w:uiPriority w:val="0"/>
  </w:style>
  <w:style w:type="character" w:styleId="13">
    <w:name w:val="Emphasis"/>
    <w:basedOn w:val="11"/>
    <w:qFormat/>
    <w:uiPriority w:val="0"/>
  </w:style>
  <w:style w:type="character" w:styleId="14">
    <w:name w:val="HTML Definition"/>
    <w:basedOn w:val="11"/>
    <w:qFormat/>
    <w:uiPriority w:val="0"/>
  </w:style>
  <w:style w:type="character" w:styleId="15">
    <w:name w:val="HTML Acronym"/>
    <w:basedOn w:val="11"/>
    <w:qFormat/>
    <w:uiPriority w:val="0"/>
  </w:style>
  <w:style w:type="character" w:styleId="16">
    <w:name w:val="HTML Variable"/>
    <w:basedOn w:val="11"/>
    <w:qFormat/>
    <w:uiPriority w:val="0"/>
  </w:style>
  <w:style w:type="character" w:styleId="17">
    <w:name w:val="Hyperlink"/>
    <w:unhideWhenUsed/>
    <w:qFormat/>
    <w:uiPriority w:val="99"/>
    <w:rPr>
      <w:color w:val="0000FF"/>
      <w:u w:val="single"/>
    </w:rPr>
  </w:style>
  <w:style w:type="character" w:styleId="18">
    <w:name w:val="HTML Code"/>
    <w:basedOn w:val="11"/>
    <w:qFormat/>
    <w:uiPriority w:val="0"/>
    <w:rPr>
      <w:rFonts w:ascii="Courier" w:hAnsi="Courier" w:cs="Courier"/>
      <w:sz w:val="27"/>
      <w:szCs w:val="27"/>
      <w:bdr w:val="single" w:color="CCCCCC" w:sz="4" w:space="0"/>
      <w:shd w:val="clear" w:color="auto" w:fill="EFEFEF"/>
    </w:rPr>
  </w:style>
  <w:style w:type="character" w:styleId="19">
    <w:name w:val="HTML Cite"/>
    <w:basedOn w:val="11"/>
    <w:qFormat/>
    <w:uiPriority w:val="0"/>
  </w:style>
  <w:style w:type="character" w:customStyle="1" w:styleId="20">
    <w:name w:val="l-selected"/>
    <w:basedOn w:val="11"/>
    <w:qFormat/>
    <w:uiPriority w:val="0"/>
    <w:rPr>
      <w:color w:val="355686"/>
      <w:bdr w:val="single" w:color="DAB364" w:sz="4" w:space="0"/>
      <w:shd w:val="clear" w:color="auto" w:fill="FFFFFF"/>
    </w:rPr>
  </w:style>
  <w:style w:type="character" w:customStyle="1" w:styleId="21">
    <w:name w:val="l-open"/>
    <w:basedOn w:val="11"/>
    <w:qFormat/>
    <w:uiPriority w:val="0"/>
  </w:style>
  <w:style w:type="character" w:customStyle="1" w:styleId="22">
    <w:name w:val="l-over"/>
    <w:basedOn w:val="11"/>
    <w:qFormat/>
    <w:uiPriority w:val="0"/>
    <w:rPr>
      <w:bdr w:val="single" w:color="DAB364" w:sz="4" w:space="0"/>
    </w:rPr>
  </w:style>
  <w:style w:type="character" w:customStyle="1" w:styleId="23">
    <w:name w:val="标题 2 字符"/>
    <w:link w:val="3"/>
    <w:qFormat/>
    <w:uiPriority w:val="0"/>
    <w:rPr>
      <w:rFonts w:ascii="Calibri Light" w:hAnsi="Calibri Light" w:eastAsia="宋体" w:cs="Times New Roman"/>
      <w:b/>
      <w:bCs/>
      <w:sz w:val="32"/>
      <w:szCs w:val="32"/>
    </w:rPr>
  </w:style>
  <w:style w:type="character" w:customStyle="1" w:styleId="24">
    <w:name w:val="标题 3 字符"/>
    <w:link w:val="4"/>
    <w:qFormat/>
    <w:uiPriority w:val="0"/>
    <w:rPr>
      <w:b/>
      <w:bCs/>
      <w:sz w:val="32"/>
      <w:szCs w:val="32"/>
    </w:rPr>
  </w:style>
  <w:style w:type="character" w:customStyle="1" w:styleId="25">
    <w:name w:val="脚注文本 字符"/>
    <w:basedOn w:val="11"/>
    <w:link w:val="9"/>
    <w:qFormat/>
    <w:uiPriority w:val="99"/>
    <w:rPr>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D34E77-13C1-4140-B095-01C6BDF1495D}">
  <ds:schemaRefs/>
</ds:datastoreItem>
</file>

<file path=docProps/app.xml><?xml version="1.0" encoding="utf-8"?>
<Properties xmlns="http://schemas.openxmlformats.org/officeDocument/2006/extended-properties" xmlns:vt="http://schemas.openxmlformats.org/officeDocument/2006/docPropsVTypes">
  <Template>Normal.dotm</Template>
  <Pages>7</Pages>
  <Words>6154</Words>
  <Characters>6403</Characters>
  <Lines>51</Lines>
  <Paragraphs>14</Paragraphs>
  <TotalTime>4</TotalTime>
  <ScaleCrop>false</ScaleCrop>
  <LinksUpToDate>false</LinksUpToDate>
  <CharactersWithSpaces>6421</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2023-08-22T06:53:00Z</dcterms:created>
  <dc:creator>qwj</dc:creator>
  <cp:lastModifiedBy>微信用户</cp:lastModifiedBy>
  <dcterms:modified xsi:type="dcterms:W3CDTF">2024-07-19T02:07:33Z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0259F0B8E8B247F9B1C1BE47BAD24ED8_13</vt:lpwstr>
  </property>
</Properties>
</file>