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华文中宋" w:hAnsi="华文中宋" w:eastAsia="华文中宋" w:cs="华文中宋"/>
          <w:b/>
          <w:bCs/>
          <w:sz w:val="32"/>
          <w:szCs w:val="32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32"/>
        </w:rPr>
        <w:t>失业保险稳岗返还操作手册</w:t>
      </w:r>
    </w:p>
    <w:p>
      <w:pPr>
        <w:jc w:val="center"/>
        <w:outlineLvl w:val="0"/>
        <w:rPr>
          <w:rFonts w:ascii="华文中宋" w:hAnsi="华文中宋" w:eastAsia="华文中宋" w:cs="华文中宋"/>
          <w:b/>
          <w:bCs/>
          <w:sz w:val="32"/>
          <w:szCs w:val="32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32"/>
        </w:rPr>
        <w:t>（202</w:t>
      </w:r>
      <w:r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华文中宋" w:hAnsi="华文中宋" w:eastAsia="华文中宋" w:cs="华文中宋"/>
          <w:b/>
          <w:bCs/>
          <w:sz w:val="32"/>
          <w:szCs w:val="32"/>
        </w:rPr>
        <w:t>年度）</w:t>
      </w:r>
    </w:p>
    <w:p>
      <w:pPr>
        <w:rPr>
          <w:rFonts w:ascii="仿宋" w:hAnsi="仿宋" w:eastAsia="仿宋" w:cs="仿宋"/>
        </w:rPr>
      </w:pPr>
    </w:p>
    <w:p>
      <w:pPr>
        <w:jc w:val="center"/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前言</w:t>
      </w:r>
    </w:p>
    <w:p>
      <w:pPr>
        <w:jc w:val="center"/>
        <w:rPr>
          <w:rFonts w:ascii="仿宋" w:hAnsi="仿宋" w:eastAsia="仿宋" w:cs="仿宋"/>
        </w:rPr>
      </w:pP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为做好202</w:t>
      </w:r>
      <w:r>
        <w:rPr>
          <w:rFonts w:hint="eastAsia" w:ascii="仿宋" w:hAnsi="仿宋" w:eastAsia="仿宋" w:cs="仿宋"/>
          <w:lang w:val="en-US" w:eastAsia="zh-CN"/>
        </w:rPr>
        <w:t>4</w:t>
      </w:r>
      <w:r>
        <w:rPr>
          <w:rFonts w:hint="eastAsia" w:ascii="仿宋" w:hAnsi="仿宋" w:eastAsia="仿宋" w:cs="仿宋"/>
        </w:rPr>
        <w:t>年度失业保险稳岗返还工作，省社保中心在</w:t>
      </w:r>
      <w:r>
        <w:rPr>
          <w:rFonts w:hint="eastAsia" w:ascii="仿宋" w:hAnsi="仿宋" w:eastAsia="仿宋" w:cs="仿宋"/>
          <w:lang w:val="en-US" w:eastAsia="zh-CN"/>
        </w:rPr>
        <w:t>2023年度</w:t>
      </w:r>
      <w:r>
        <w:rPr>
          <w:rFonts w:hint="eastAsia" w:ascii="仿宋" w:hAnsi="仿宋" w:eastAsia="仿宋" w:cs="仿宋"/>
        </w:rPr>
        <w:t>程序功能基础上，对照《河南省人力资源和社会保障厅 河南省财政厅关于</w:t>
      </w:r>
      <w:r>
        <w:rPr>
          <w:rFonts w:hint="eastAsia" w:ascii="仿宋" w:hAnsi="仿宋" w:eastAsia="仿宋" w:cs="仿宋"/>
          <w:lang w:eastAsia="zh-CN"/>
        </w:rPr>
        <w:t>延续实施</w:t>
      </w:r>
      <w:r>
        <w:rPr>
          <w:rFonts w:hint="eastAsia" w:ascii="仿宋" w:hAnsi="仿宋" w:eastAsia="仿宋" w:cs="仿宋"/>
        </w:rPr>
        <w:t>失业保险</w:t>
      </w:r>
      <w:r>
        <w:rPr>
          <w:rFonts w:hint="eastAsia" w:ascii="仿宋" w:hAnsi="仿宋" w:eastAsia="仿宋" w:cs="仿宋"/>
          <w:lang w:eastAsia="zh-CN"/>
        </w:rPr>
        <w:t>援企稳岗有关政策</w:t>
      </w:r>
      <w:r>
        <w:rPr>
          <w:rFonts w:hint="eastAsia" w:ascii="仿宋" w:hAnsi="仿宋" w:eastAsia="仿宋" w:cs="仿宋"/>
        </w:rPr>
        <w:t>的通知（豫人社办〔202</w:t>
      </w:r>
      <w:r>
        <w:rPr>
          <w:rFonts w:hint="eastAsia" w:ascii="仿宋" w:hAnsi="仿宋" w:eastAsia="仿宋" w:cs="仿宋"/>
          <w:lang w:val="en-US" w:eastAsia="zh-CN"/>
        </w:rPr>
        <w:t>4</w:t>
      </w:r>
      <w:r>
        <w:rPr>
          <w:rFonts w:hint="eastAsia" w:ascii="仿宋" w:hAnsi="仿宋" w:eastAsia="仿宋" w:cs="仿宋"/>
        </w:rPr>
        <w:t>〕</w:t>
      </w:r>
      <w:r>
        <w:rPr>
          <w:rFonts w:hint="eastAsia" w:ascii="仿宋" w:hAnsi="仿宋" w:eastAsia="仿宋" w:cs="仿宋"/>
          <w:lang w:val="en-US" w:eastAsia="zh-CN"/>
        </w:rPr>
        <w:t>47</w:t>
      </w:r>
      <w:r>
        <w:rPr>
          <w:rFonts w:hint="eastAsia" w:ascii="仿宋" w:hAnsi="仿宋" w:eastAsia="仿宋" w:cs="仿宋"/>
        </w:rPr>
        <w:t>号）》最新精神，梳理出稳岗返还程序调整要点，具体流程以及注意事项如下：</w:t>
      </w:r>
    </w:p>
    <w:p>
      <w:pPr>
        <w:ind w:firstLine="420" w:firstLineChars="200"/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一、主动申请方式</w:t>
      </w:r>
    </w:p>
    <w:p>
      <w:pPr>
        <w:ind w:firstLine="420" w:firstLineChars="200"/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（一）网厅端</w:t>
      </w:r>
    </w:p>
    <w:p>
      <w:pPr>
        <w:widowControl/>
        <w:ind w:firstLine="420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符合申请条件的单位可登录河南省社会保障网上服务平台(https://</w:t>
      </w:r>
      <w:r>
        <w:t xml:space="preserve"> </w:t>
      </w:r>
      <w:r>
        <w:rPr>
          <w:rFonts w:ascii="仿宋" w:hAnsi="仿宋" w:eastAsia="仿宋" w:cs="仿宋"/>
        </w:rPr>
        <w:t>siwsfw.hrss.henan.gov.cn</w:t>
      </w:r>
      <w:r>
        <w:rPr>
          <w:rFonts w:hint="eastAsia" w:ascii="仿宋" w:hAnsi="仿宋" w:eastAsia="仿宋" w:cs="仿宋"/>
        </w:rPr>
        <w:t>)中的“单位办事通道”，选择“单位业务”，点击“</w:t>
      </w:r>
      <w:r>
        <w:rPr>
          <w:rFonts w:ascii="仿宋" w:hAnsi="仿宋" w:eastAsia="仿宋" w:cs="仿宋"/>
        </w:rPr>
        <w:t>普通稳岗返还申请</w:t>
      </w:r>
      <w:r>
        <w:rPr>
          <w:rFonts w:hint="eastAsia" w:ascii="仿宋" w:hAnsi="仿宋" w:eastAsia="仿宋" w:cs="仿宋"/>
        </w:rPr>
        <w:t>”，确认并提交单位联系人和银行发放信息。网上服务平台除数字证书登录外，还支持免数字证书登录，方便没有办理数字证书的中小微企业进行信息确认。</w:t>
      </w:r>
    </w:p>
    <w:p>
      <w:pPr>
        <w:pStyle w:val="9"/>
        <w:ind w:firstLine="420" w:firstLineChars="200"/>
        <w:rPr>
          <w:rFonts w:hint="eastAsia" w:ascii="仿宋" w:hAnsi="仿宋" w:eastAsia="仿宋" w:cs="仿宋"/>
          <w:color w:val="FF0000"/>
          <w:szCs w:val="24"/>
        </w:rPr>
      </w:pPr>
      <w:r>
        <w:rPr>
          <w:rFonts w:hint="eastAsia" w:ascii="仿宋" w:hAnsi="仿宋" w:eastAsia="仿宋" w:cs="仿宋"/>
          <w:color w:val="FF0000"/>
        </w:rPr>
        <w:t>单位网厅“</w:t>
      </w:r>
      <w:r>
        <w:rPr>
          <w:rFonts w:ascii="仿宋" w:hAnsi="仿宋" w:eastAsia="仿宋" w:cs="仿宋"/>
          <w:color w:val="FF0000"/>
        </w:rPr>
        <w:t>普通稳岗返还申请</w:t>
      </w:r>
      <w:r>
        <w:rPr>
          <w:rFonts w:hint="eastAsia" w:ascii="仿宋" w:hAnsi="仿宋" w:eastAsia="仿宋" w:cs="仿宋"/>
          <w:color w:val="FF0000"/>
        </w:rPr>
        <w:t xml:space="preserve">”增加弹窗告知、读秒、确认方式生成告知书及注意方式，并作为电子材料存档备查。 </w:t>
      </w:r>
      <w:r>
        <w:rPr>
          <w:rFonts w:hint="eastAsia" w:ascii="仿宋" w:hAnsi="仿宋" w:eastAsia="仿宋" w:cs="仿宋"/>
          <w:color w:val="FF0000"/>
          <w:szCs w:val="24"/>
        </w:rPr>
        <w:t>网厅“普通稳岗返还信息确认”事项名称调整为“稳岗返还申请”。</w:t>
      </w:r>
    </w:p>
    <w:p>
      <w:pPr>
        <w:pStyle w:val="9"/>
        <w:ind w:firstLine="420" w:firstLineChars="200"/>
        <w:rPr>
          <w:rFonts w:hint="eastAsia" w:ascii="仿宋" w:hAnsi="仿宋" w:eastAsia="仿宋" w:cs="仿宋"/>
          <w:color w:val="FF0000"/>
          <w:szCs w:val="24"/>
        </w:rPr>
      </w:pPr>
      <w:r>
        <w:rPr>
          <w:rFonts w:hint="eastAsia" w:ascii="仿宋" w:hAnsi="仿宋" w:eastAsia="仿宋" w:cs="仿宋"/>
          <w:color w:val="FF0000"/>
          <w:szCs w:val="24"/>
        </w:rPr>
        <w:t>网厅端稳岗返还申请模块中的“确认信息栏”增加企业划型标记。申请年度调整为“2024”，页面标红提醒内容增加：“企业划型信息与返还比例和返还资金额相关联，请认真核对！”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</w:rPr>
        <w:t>（二）中心端</w:t>
      </w:r>
      <w:r>
        <w:rPr>
          <w:rFonts w:hint="eastAsia" w:ascii="仿宋" w:hAnsi="仿宋" w:eastAsia="仿宋" w:cs="仿宋"/>
          <w:color w:val="FF0000"/>
        </w:rPr>
        <w:t xml:space="preserve"> 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1.返还比例：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由省厅通过“稳岗返还参数维护”模块维护，同时通知各省辖市按照省定返还比例维护。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大型企业按企业按照职工上年度实际缴纳失业保险费的</w:t>
      </w:r>
      <w:r>
        <w:rPr>
          <w:rFonts w:ascii="仿宋" w:hAnsi="仿宋" w:eastAsia="仿宋" w:cs="仿宋"/>
          <w:color w:val="FF0000"/>
        </w:rPr>
        <w:t>30</w:t>
      </w:r>
      <w:r>
        <w:rPr>
          <w:rFonts w:hint="eastAsia" w:ascii="仿宋" w:hAnsi="仿宋" w:eastAsia="仿宋" w:cs="仿宋"/>
          <w:color w:val="FF0000"/>
        </w:rPr>
        <w:t>%返还。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中小微企业中小微企业则按照</w:t>
      </w:r>
      <w:r>
        <w:rPr>
          <w:rFonts w:ascii="仿宋" w:hAnsi="仿宋" w:eastAsia="仿宋" w:cs="仿宋"/>
          <w:color w:val="FF0000"/>
        </w:rPr>
        <w:t>60%</w:t>
      </w:r>
      <w:r>
        <w:rPr>
          <w:rFonts w:hint="eastAsia" w:ascii="仿宋" w:hAnsi="仿宋" w:eastAsia="仿宋" w:cs="仿宋"/>
          <w:color w:val="FF0000"/>
        </w:rPr>
        <w:t>。</w:t>
      </w:r>
    </w:p>
    <w:p>
      <w:pPr>
        <w:spacing w:line="280" w:lineRule="exact"/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社会团体、社会服务机构、律师事务所、会计师事务所、以单位形式参保的个体工商户参照实施。</w:t>
      </w:r>
    </w:p>
    <w:p>
      <w:pPr>
        <w:spacing w:line="280" w:lineRule="exact"/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2.失信企业校验：</w:t>
      </w:r>
    </w:p>
    <w:p>
      <w:pPr>
        <w:spacing w:line="280" w:lineRule="exact"/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FF0000"/>
        </w:rPr>
        <w:t>暂按2022年度失信校验规则，通过调用发改委信用中心程序接口（4.3获取主体信息接口）中，去除接口返回值“失信惩戒对象”数量取值大于等于1的，对“失信惩戒”企业做业务阻断处理。</w:t>
      </w:r>
    </w:p>
    <w:p>
      <w:pPr>
        <w:spacing w:line="280" w:lineRule="exact"/>
        <w:ind w:firstLine="420" w:firstLineChars="200"/>
        <w:rPr>
          <w:rFonts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单位网厅主动申报“普通稳岗返还核定”，中心端“普通稳岗返还核定”，中心端免审即享的“稳岗返还批量核定”以及中心端 “稳岗返还公示”均有此校验。</w:t>
      </w:r>
    </w:p>
    <w:p>
      <w:pPr>
        <w:spacing w:line="280" w:lineRule="exact"/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按照文件规定，失信的校验按照公示结束之日查询的信用信息为准，“稳岗返还公示”后续的拨付流程不再对失信企业进行校验。</w:t>
      </w:r>
    </w:p>
    <w:p>
      <w:pPr>
        <w:spacing w:line="280" w:lineRule="exact"/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3.企业划型：</w:t>
      </w:r>
    </w:p>
    <w:p>
      <w:pPr>
        <w:spacing w:line="280" w:lineRule="exact"/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2020年我省阶段性减免企业社会保险费时，对大型企业进行了划型确认，除大型企业外其他企业均作为中小微企业，信息系统中企业规模类型标记与当前企业规模类型不一致的，各地应先维护企业划型信息标识。企业规模类型标准参照豫人社〔2020〕7号文件规定执行。</w:t>
      </w:r>
    </w:p>
    <w:p>
      <w:pPr>
        <w:spacing w:line="280" w:lineRule="exact"/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（三）复核权限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</w:rPr>
        <w:t xml:space="preserve">“普通稳岗返还核定”办理层级为经办、复核、审核。 </w:t>
      </w:r>
      <w:r>
        <w:rPr>
          <w:rFonts w:hint="eastAsia" w:ascii="仿宋" w:hAnsi="仿宋" w:eastAsia="仿宋" w:cs="仿宋"/>
          <w:color w:val="FF0000"/>
        </w:rPr>
        <w:t xml:space="preserve"> 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二、免申即享方式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（一）功能概述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“稳岗返还批量核定”功能用于实现“免申即享”经办方式，无需企业提交申请，由经办机构按照失业保险稳岗返还政策条件，通过数据筛查，找到符合条件企业，经过核定、</w:t>
      </w:r>
      <w:r>
        <w:rPr>
          <w:rFonts w:hint="eastAsia" w:ascii="仿宋" w:hAnsi="仿宋" w:eastAsia="仿宋" w:cs="仿宋"/>
          <w:color w:val="FF0000"/>
        </w:rPr>
        <w:t>确认、</w:t>
      </w:r>
      <w:r>
        <w:rPr>
          <w:rFonts w:hint="eastAsia" w:ascii="仿宋" w:hAnsi="仿宋" w:eastAsia="仿宋" w:cs="仿宋"/>
        </w:rPr>
        <w:t>公示、拨付等环节，向符合条件企业发放返还资金。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（二）功能介绍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1.办理流程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更新固化数据。经办人打开“稳岗返还批量核定”模块，点击“更新固化数据”，信息系统更新并固化本地所有符合条件企业信息（不含已主动申请企业），考虑到数据库系统性能限制，为提高符合稳岗返还条件企业查询效率，加快审核进度，一次更新固化数据完成之前，不允许点击第二次。郑州数据体量比较大，具体情况由工程师配合处理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（2）查询办理业务。点击“查询”按钮，显示出符合条件企业信息；勾选指定企业（可批量），点击“保存”即为审核通过，审核不通过的，不用处理。公示、拨付等环节沿用现有流程。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2.共享数据处理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2</w:t>
      </w:r>
      <w:r>
        <w:rPr>
          <w:rFonts w:ascii="仿宋" w:hAnsi="仿宋" w:eastAsia="仿宋" w:cs="仿宋"/>
          <w:color w:val="FF0000"/>
        </w:rPr>
        <w:t>02</w:t>
      </w:r>
      <w:r>
        <w:rPr>
          <w:rFonts w:hint="eastAsia" w:ascii="仿宋" w:hAnsi="仿宋" w:eastAsia="仿宋" w:cs="仿宋"/>
          <w:color w:val="FF0000"/>
          <w:lang w:val="en-US" w:eastAsia="zh-CN"/>
        </w:rPr>
        <w:t>4</w:t>
      </w:r>
      <w:r>
        <w:rPr>
          <w:rFonts w:hint="eastAsia" w:ascii="仿宋" w:hAnsi="仿宋" w:eastAsia="仿宋" w:cs="仿宋"/>
          <w:color w:val="FF0000"/>
        </w:rPr>
        <w:t>年暂无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3</w:t>
      </w:r>
      <w:r>
        <w:rPr>
          <w:rFonts w:ascii="仿宋" w:hAnsi="仿宋" w:eastAsia="仿宋" w:cs="仿宋"/>
          <w:color w:val="FF0000"/>
        </w:rPr>
        <w:t>.</w:t>
      </w:r>
      <w:r>
        <w:rPr>
          <w:rFonts w:hint="eastAsia" w:ascii="仿宋" w:hAnsi="仿宋" w:eastAsia="仿宋" w:cs="仿宋"/>
          <w:color w:val="FF0000"/>
        </w:rPr>
        <w:t xml:space="preserve"> 领取稳岗返还确认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（1）“稳岗返还批量核定”固化保存后，系统会自动推送单位网厅待办信息，点入待办，进入“领取稳岗返还确认”事项，可选择“同意享受”或“放弃享受”按钮，中心端同步做好享受或放弃标记。对于放弃享受的企业，在“批量稳岗返还核定”模块筛选时去除该企业，后续可通过“依申请”方式申请。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（2）受理岗增加“领取稳岗返还确认”，作为没有网厅单位的确认途径。领取稳岗返还确认可重复重复操作。取当年度的稳岗公示信息，显示稳岗返还核定信息，可选择“同意享受”或“放弃享受”按钮，中心端同步做好享受或放弃标记。事项即时办结。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三、稳岗返还公示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未做确认的，不能进行“稳岗返还公示”，必须做“领取稳岗返还确认”，单位网厅主动申请的，系统领取状态自动为确认享受；免审即享方式的，则可通过以上两种途径进行确认。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四、稳岗返还待遇支付</w:t>
      </w:r>
    </w:p>
    <w:p>
      <w:pPr>
        <w:ind w:firstLine="420" w:firstLineChars="2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基金部门向银行完成支付复核业务时，向企业弹窗推送网厅待办信息，告知稳岗返还资金发放信息，同时再次告知资金使用用途（仅作为发放成功提醒，不做操作）。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五、稳岗返还参数配置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稳岗返还参数实行省、市两级经办机构通过前台页面配置。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一）省级负责配置稳岗返还开展地区（包括省辖市、济源示范区，设置开通后，该地区开展稳岗返还必备的单位网厅、内部事项等一并开通）、额度上限、返还标准上限（大型企业）（0-100%区间可调整）、返还标准上限（中小微企业）（0-100%区间可调整）、开展起止时间段（精确到日）、全省上年度城镇调查失业率控制目标（0-100%区间可调整）、备注等参数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二）省辖市、济源示范区负责配置返还标准（大型企业）（0-省级设定上限区间可调整，比如省级设定为50%，则省辖市应不超过50%）、返还标准上限（中小微企业）（0-省级设定上限区间可调整，比如省级设定为90%，则省辖市应不超过90%），本次稳岗返还预估资金总量（大型企业）、本次稳岗返还预估资金总量（中小微企业）、本次稳岗返还预估资金总量合计（前两项加总）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（三）稳岗返还参数配置办理层级为经办、复核两级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六、满足稳岗返还核定数据筛查</w:t>
      </w:r>
    </w:p>
    <w:p>
      <w:pPr>
        <w:pStyle w:val="9"/>
        <w:snapToGrid/>
        <w:ind w:firstLine="420" w:firstLineChars="200"/>
        <w:rPr>
          <w:rFonts w:ascii="仿宋" w:hAnsi="仿宋" w:eastAsia="仿宋" w:cs="仿宋"/>
          <w:szCs w:val="24"/>
        </w:rPr>
      </w:pPr>
      <w:r>
        <w:rPr>
          <w:rFonts w:ascii="仿宋" w:hAnsi="仿宋" w:eastAsia="仿宋" w:cs="仿宋"/>
          <w:szCs w:val="24"/>
        </w:rPr>
        <w:t>1</w:t>
      </w:r>
      <w:r>
        <w:rPr>
          <w:rFonts w:hint="eastAsia" w:ascii="仿宋" w:hAnsi="仿宋" w:eastAsia="仿宋" w:cs="仿宋"/>
          <w:szCs w:val="24"/>
        </w:rPr>
        <w:t>.</w:t>
      </w:r>
      <w:r>
        <w:rPr>
          <w:rFonts w:ascii="仿宋" w:hAnsi="仿宋" w:eastAsia="仿宋" w:cs="仿宋"/>
          <w:szCs w:val="24"/>
        </w:rPr>
        <w:t>参保</w:t>
      </w:r>
      <w:r>
        <w:rPr>
          <w:rFonts w:hint="eastAsia" w:ascii="仿宋" w:hAnsi="仿宋" w:eastAsia="仿宋" w:cs="仿宋"/>
          <w:szCs w:val="24"/>
        </w:rPr>
        <w:t>缴费期限认定</w:t>
      </w:r>
    </w:p>
    <w:p>
      <w:pPr>
        <w:pStyle w:val="9"/>
        <w:snapToGrid/>
        <w:ind w:firstLine="420" w:firstLineChars="200"/>
        <w:rPr>
          <w:rFonts w:ascii="仿宋" w:hAnsi="仿宋" w:eastAsia="仿宋" w:cs="仿宋"/>
          <w:color w:val="00B0F0"/>
          <w:szCs w:val="24"/>
        </w:rPr>
      </w:pPr>
      <w:r>
        <w:rPr>
          <w:rFonts w:hint="eastAsia" w:ascii="仿宋" w:hAnsi="仿宋" w:eastAsia="仿宋" w:cs="仿宋"/>
          <w:color w:val="00B0F0"/>
          <w:szCs w:val="24"/>
        </w:rPr>
        <w:t>信息系统中该单位</w:t>
      </w:r>
      <w:r>
        <w:rPr>
          <w:rFonts w:ascii="仿宋" w:hAnsi="仿宋" w:eastAsia="仿宋" w:cs="仿宋"/>
          <w:color w:val="00B0F0"/>
          <w:szCs w:val="24"/>
        </w:rPr>
        <w:t>参保至申领当月</w:t>
      </w:r>
      <w:r>
        <w:rPr>
          <w:rFonts w:hint="eastAsia" w:ascii="仿宋" w:hAnsi="仿宋" w:eastAsia="仿宋" w:cs="仿宋"/>
          <w:color w:val="00B0F0"/>
          <w:szCs w:val="24"/>
        </w:rPr>
        <w:t>（包含当月）足额缴费+缓交欠费</w:t>
      </w:r>
      <w:r>
        <w:rPr>
          <w:rFonts w:ascii="仿宋" w:hAnsi="仿宋" w:eastAsia="仿宋" w:cs="仿宋"/>
          <w:color w:val="00B0F0"/>
          <w:szCs w:val="24"/>
        </w:rPr>
        <w:t>满</w:t>
      </w:r>
      <w:r>
        <w:rPr>
          <w:rFonts w:hint="eastAsia" w:ascii="仿宋" w:hAnsi="仿宋" w:eastAsia="仿宋" w:cs="仿宋"/>
          <w:color w:val="00B0F0"/>
          <w:szCs w:val="24"/>
        </w:rPr>
        <w:t>1</w:t>
      </w:r>
      <w:r>
        <w:rPr>
          <w:rFonts w:ascii="仿宋" w:hAnsi="仿宋" w:eastAsia="仿宋" w:cs="仿宋"/>
          <w:color w:val="00B0F0"/>
          <w:szCs w:val="24"/>
        </w:rPr>
        <w:t>2</w:t>
      </w:r>
      <w:r>
        <w:rPr>
          <w:rFonts w:hint="eastAsia" w:ascii="仿宋" w:hAnsi="仿宋" w:eastAsia="仿宋" w:cs="仿宋"/>
          <w:color w:val="00B0F0"/>
          <w:szCs w:val="24"/>
        </w:rPr>
        <w:t>个月。</w:t>
      </w:r>
    </w:p>
    <w:p>
      <w:pPr>
        <w:pStyle w:val="9"/>
        <w:snapToGrid/>
        <w:ind w:firstLine="42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2.</w:t>
      </w:r>
      <w:r>
        <w:rPr>
          <w:rFonts w:ascii="仿宋" w:hAnsi="仿宋" w:eastAsia="仿宋" w:cs="仿宋"/>
          <w:szCs w:val="24"/>
        </w:rPr>
        <w:t>欠费标准认定</w:t>
      </w:r>
    </w:p>
    <w:p>
      <w:pPr>
        <w:pStyle w:val="9"/>
        <w:snapToGrid/>
        <w:ind w:firstLine="420" w:firstLineChars="200"/>
        <w:rPr>
          <w:rFonts w:ascii="仿宋" w:hAnsi="仿宋" w:eastAsia="仿宋" w:cs="仿宋"/>
          <w:color w:val="FF0000"/>
          <w:szCs w:val="24"/>
        </w:rPr>
      </w:pPr>
      <w:r>
        <w:rPr>
          <w:rFonts w:hint="eastAsia" w:ascii="仿宋" w:hAnsi="仿宋" w:eastAsia="仿宋" w:cs="仿宋"/>
          <w:color w:val="00B0F0"/>
          <w:szCs w:val="24"/>
        </w:rPr>
        <w:t>（1）</w:t>
      </w:r>
      <w:r>
        <w:rPr>
          <w:rFonts w:ascii="仿宋" w:hAnsi="仿宋" w:eastAsia="仿宋" w:cs="仿宋"/>
          <w:color w:val="00B0F0"/>
          <w:szCs w:val="24"/>
        </w:rPr>
        <w:t>申领时</w:t>
      </w:r>
      <w:r>
        <w:rPr>
          <w:rFonts w:hint="eastAsia" w:ascii="仿宋" w:hAnsi="仿宋" w:eastAsia="仿宋" w:cs="仿宋"/>
          <w:color w:val="00B0F0"/>
          <w:szCs w:val="24"/>
        </w:rPr>
        <w:t>，信息系统中该单位截至申请当月（不包含当月）</w:t>
      </w:r>
      <w:r>
        <w:rPr>
          <w:rFonts w:ascii="仿宋" w:hAnsi="仿宋" w:eastAsia="仿宋" w:cs="仿宋"/>
          <w:color w:val="00B0F0"/>
          <w:szCs w:val="24"/>
        </w:rPr>
        <w:t>无欠费</w:t>
      </w:r>
      <w:r>
        <w:rPr>
          <w:rFonts w:hint="eastAsia" w:ascii="仿宋" w:hAnsi="仿宋" w:eastAsia="仿宋" w:cs="仿宋"/>
          <w:color w:val="00B0F0"/>
          <w:szCs w:val="24"/>
        </w:rPr>
        <w:t>。</w:t>
      </w:r>
      <w:r>
        <w:rPr>
          <w:rFonts w:hint="eastAsia" w:ascii="仿宋" w:hAnsi="仿宋" w:eastAsia="仿宋" w:cs="仿宋"/>
          <w:color w:val="FF0000"/>
          <w:szCs w:val="24"/>
        </w:rPr>
        <w:t>由于全省统一社会保险费征收改革后，税务部门仅向人社部门反馈实际缴费数据，2024年4月1日（含）以后，无实际缴费即为欠费，在此之前程序欠费校验点不变。</w:t>
      </w:r>
    </w:p>
    <w:p>
      <w:pPr>
        <w:pStyle w:val="9"/>
        <w:snapToGrid/>
        <w:ind w:firstLine="42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（</w:t>
      </w:r>
      <w:r>
        <w:rPr>
          <w:rFonts w:ascii="仿宋" w:hAnsi="仿宋" w:eastAsia="仿宋" w:cs="仿宋"/>
          <w:szCs w:val="24"/>
        </w:rPr>
        <w:t>2</w:t>
      </w:r>
      <w:r>
        <w:rPr>
          <w:rFonts w:hint="eastAsia" w:ascii="仿宋" w:hAnsi="仿宋" w:eastAsia="仿宋" w:cs="仿宋"/>
          <w:szCs w:val="24"/>
        </w:rPr>
        <w:t>）上</w:t>
      </w:r>
      <w:r>
        <w:rPr>
          <w:rFonts w:ascii="仿宋" w:hAnsi="仿宋" w:eastAsia="仿宋" w:cs="仿宋"/>
          <w:szCs w:val="24"/>
        </w:rPr>
        <w:t>年度</w:t>
      </w:r>
      <w:r>
        <w:rPr>
          <w:rFonts w:hint="eastAsia" w:ascii="仿宋" w:hAnsi="仿宋" w:eastAsia="仿宋" w:cs="仿宋"/>
          <w:szCs w:val="24"/>
        </w:rPr>
        <w:t>（对应结算期202</w:t>
      </w:r>
      <w:r>
        <w:rPr>
          <w:rFonts w:hint="eastAsia" w:ascii="仿宋" w:hAnsi="仿宋" w:eastAsia="仿宋" w:cs="仿宋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Cs w:val="24"/>
        </w:rPr>
        <w:t>01—202</w:t>
      </w:r>
      <w:r>
        <w:rPr>
          <w:rFonts w:hint="eastAsia" w:ascii="仿宋" w:hAnsi="仿宋" w:eastAsia="仿宋" w:cs="仿宋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Cs w:val="24"/>
        </w:rPr>
        <w:t>12）</w:t>
      </w:r>
      <w:r>
        <w:rPr>
          <w:rFonts w:ascii="仿宋" w:hAnsi="仿宋" w:eastAsia="仿宋" w:cs="仿宋"/>
          <w:szCs w:val="24"/>
        </w:rPr>
        <w:t>签缓缴协议</w:t>
      </w:r>
      <w:r>
        <w:rPr>
          <w:rFonts w:hint="eastAsia" w:ascii="仿宋" w:hAnsi="仿宋" w:eastAsia="仿宋" w:cs="仿宋"/>
          <w:szCs w:val="24"/>
        </w:rPr>
        <w:t>的</w:t>
      </w:r>
      <w:r>
        <w:rPr>
          <w:rFonts w:ascii="仿宋" w:hAnsi="仿宋" w:eastAsia="仿宋" w:cs="仿宋"/>
          <w:szCs w:val="24"/>
        </w:rPr>
        <w:t>不算欠费。</w:t>
      </w:r>
    </w:p>
    <w:p>
      <w:pPr>
        <w:pStyle w:val="9"/>
        <w:ind w:firstLine="42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3</w:t>
      </w:r>
      <w:r>
        <w:rPr>
          <w:rFonts w:ascii="仿宋" w:hAnsi="仿宋" w:eastAsia="仿宋" w:cs="仿宋"/>
          <w:szCs w:val="24"/>
        </w:rPr>
        <w:t>.</w:t>
      </w:r>
      <w:r>
        <w:rPr>
          <w:rFonts w:hint="eastAsia" w:ascii="仿宋" w:hAnsi="仿宋" w:eastAsia="仿宋" w:cs="仿宋"/>
          <w:szCs w:val="24"/>
        </w:rPr>
        <w:t xml:space="preserve"> 单位裁员人数：有以下</w:t>
      </w:r>
      <w:r>
        <w:rPr>
          <w:rFonts w:ascii="仿宋" w:hAnsi="仿宋" w:eastAsia="仿宋" w:cs="仿宋"/>
          <w:szCs w:val="24"/>
        </w:rPr>
        <w:t>5</w:t>
      </w:r>
      <w:r>
        <w:rPr>
          <w:rFonts w:hint="eastAsia" w:ascii="仿宋" w:hAnsi="仿宋" w:eastAsia="仿宋" w:cs="仿宋"/>
          <w:szCs w:val="24"/>
        </w:rPr>
        <w:t>种情况（双方协商一致解除劳动合同、辞退、被判刑、被开除、被除名）的人员</w:t>
      </w:r>
      <w:r>
        <w:rPr>
          <w:rFonts w:hint="eastAsia" w:ascii="仿宋" w:hAnsi="仿宋" w:eastAsia="仿宋" w:cs="仿宋"/>
          <w:szCs w:val="24"/>
          <w:lang w:eastAsia="zh-CN"/>
        </w:rPr>
        <w:t>失业</w:t>
      </w:r>
      <w:r>
        <w:rPr>
          <w:rFonts w:hint="eastAsia" w:ascii="仿宋" w:hAnsi="仿宋" w:eastAsia="仿宋" w:cs="仿宋"/>
          <w:szCs w:val="24"/>
        </w:rPr>
        <w:t>保险中断，才会被认定为裁员。如果半年度一个人多次被裁员，则人数还是1人。</w:t>
      </w:r>
    </w:p>
    <w:p>
      <w:pPr>
        <w:pStyle w:val="9"/>
        <w:snapToGrid/>
        <w:ind w:firstLine="42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4.上年欠缴失业保险费总额：该单位对应结算期202</w:t>
      </w:r>
      <w:r>
        <w:rPr>
          <w:rFonts w:hint="eastAsia" w:ascii="仿宋" w:hAnsi="仿宋" w:eastAsia="仿宋" w:cs="仿宋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Cs w:val="24"/>
        </w:rPr>
        <w:t>01—202</w:t>
      </w:r>
      <w:r>
        <w:rPr>
          <w:rFonts w:hint="eastAsia" w:ascii="仿宋" w:hAnsi="仿宋" w:eastAsia="仿宋" w:cs="仿宋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Cs w:val="24"/>
        </w:rPr>
        <w:t>12征集计划中欠缴失业保险费累计金额。</w:t>
      </w:r>
    </w:p>
    <w:p>
      <w:pPr>
        <w:ind w:left="420" w:leftChars="200"/>
        <w:rPr>
          <w:rFonts w:ascii="仿宋" w:hAnsi="仿宋" w:eastAsia="仿宋" w:cs="仿宋"/>
          <w:color w:val="00B0F0"/>
        </w:rPr>
      </w:pPr>
      <w:r>
        <w:rPr>
          <w:rFonts w:hint="eastAsia" w:ascii="仿宋" w:hAnsi="仿宋" w:eastAsia="仿宋" w:cs="仿宋"/>
          <w:color w:val="00B0F0"/>
        </w:rPr>
        <w:t>5</w:t>
      </w:r>
      <w:r>
        <w:rPr>
          <w:rFonts w:ascii="仿宋" w:hAnsi="仿宋" w:eastAsia="仿宋" w:cs="仿宋"/>
          <w:color w:val="00B0F0"/>
        </w:rPr>
        <w:t>.</w:t>
      </w:r>
      <w:r>
        <w:rPr>
          <w:rFonts w:hint="eastAsia" w:ascii="仿宋" w:hAnsi="仿宋" w:eastAsia="仿宋" w:cs="仿宋"/>
          <w:color w:val="00B0F0"/>
        </w:rPr>
        <w:t>年初人数取值：如果单位没有上年度一月份的征缴计划，则取上年度最小的有征缴计划的那个月对应的人数。</w:t>
      </w:r>
    </w:p>
    <w:p>
      <w:pPr>
        <w:ind w:firstLine="421" w:firstLineChars="200"/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color w:val="548235" w:themeColor="accent6" w:themeShade="BF"/>
          <w:highlight w:val="yellow"/>
        </w:rPr>
        <w:t>6</w:t>
      </w:r>
      <w:r>
        <w:rPr>
          <w:rFonts w:ascii="仿宋" w:hAnsi="仿宋" w:eastAsia="仿宋" w:cs="仿宋"/>
          <w:b/>
          <w:bCs/>
          <w:color w:val="548235" w:themeColor="accent6" w:themeShade="BF"/>
          <w:highlight w:val="yellow"/>
        </w:rPr>
        <w:t>.</w:t>
      </w:r>
      <w:r>
        <w:rPr>
          <w:rFonts w:hint="eastAsia" w:ascii="仿宋" w:hAnsi="仿宋" w:eastAsia="仿宋" w:cs="仿宋"/>
          <w:b/>
          <w:bCs/>
          <w:color w:val="548235" w:themeColor="accent6" w:themeShade="BF"/>
          <w:highlight w:val="yellow"/>
        </w:rPr>
        <w:t>事业单位不具备稳岗申报资格。若单位正常参保的机关事业养老保险和失业保险，则不允许申报稳岗返还。</w:t>
      </w:r>
    </w:p>
    <w:p>
      <w:pPr>
        <w:pStyle w:val="9"/>
        <w:snapToGrid/>
        <w:ind w:firstLine="420" w:firstLineChars="200"/>
        <w:rPr>
          <w:rFonts w:ascii="仿宋" w:hAnsi="仿宋" w:eastAsia="仿宋" w:cs="仿宋"/>
          <w:color w:val="FF0000"/>
          <w:szCs w:val="24"/>
        </w:rPr>
      </w:pPr>
      <w:r>
        <w:rPr>
          <w:rFonts w:hint="eastAsia" w:ascii="仿宋" w:hAnsi="仿宋" w:eastAsia="仿宋" w:cs="仿宋"/>
          <w:color w:val="FF0000"/>
          <w:szCs w:val="24"/>
        </w:rPr>
        <w:t>7.上年缴纳失业保险费总额：</w:t>
      </w:r>
    </w:p>
    <w:p>
      <w:pPr>
        <w:pStyle w:val="9"/>
        <w:snapToGrid/>
        <w:ind w:firstLine="420" w:firstLineChars="200"/>
        <w:rPr>
          <w:rFonts w:ascii="仿宋" w:hAnsi="仿宋" w:eastAsia="仿宋" w:cs="仿宋"/>
          <w:color w:val="FF0000"/>
          <w:szCs w:val="24"/>
        </w:rPr>
      </w:pPr>
      <w:r>
        <w:rPr>
          <w:rFonts w:hint="eastAsia" w:ascii="仿宋" w:hAnsi="仿宋" w:eastAsia="仿宋" w:cs="仿宋"/>
          <w:color w:val="FF0000"/>
          <w:szCs w:val="24"/>
        </w:rPr>
        <w:t>（1）正常缴费企业。该单位202</w:t>
      </w:r>
      <w:r>
        <w:rPr>
          <w:rFonts w:hint="eastAsia" w:ascii="仿宋" w:hAnsi="仿宋" w:eastAsia="仿宋" w:cs="仿宋"/>
          <w:color w:val="FF0000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color w:val="FF0000"/>
          <w:szCs w:val="24"/>
        </w:rPr>
        <w:t>年度（结算期和对应结算期均为202</w:t>
      </w:r>
      <w:r>
        <w:rPr>
          <w:rFonts w:hint="eastAsia" w:ascii="仿宋" w:hAnsi="仿宋" w:eastAsia="仿宋" w:cs="仿宋"/>
          <w:color w:val="FF0000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color w:val="FF0000"/>
          <w:szCs w:val="24"/>
        </w:rPr>
        <w:t>01—202</w:t>
      </w:r>
      <w:r>
        <w:rPr>
          <w:rFonts w:hint="eastAsia" w:ascii="仿宋" w:hAnsi="仿宋" w:eastAsia="仿宋" w:cs="仿宋"/>
          <w:color w:val="FF0000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color w:val="FF0000"/>
          <w:szCs w:val="24"/>
        </w:rPr>
        <w:t>12）征集计划实际到账失业保险费累计金额。</w:t>
      </w:r>
    </w:p>
    <w:p>
      <w:pPr>
        <w:pStyle w:val="9"/>
        <w:snapToGrid/>
        <w:ind w:firstLine="420" w:firstLineChars="200"/>
        <w:rPr>
          <w:rFonts w:ascii="仿宋" w:hAnsi="仿宋" w:eastAsia="仿宋" w:cs="仿宋"/>
          <w:color w:val="FF0000"/>
          <w:szCs w:val="24"/>
        </w:rPr>
      </w:pPr>
      <w:r>
        <w:rPr>
          <w:rFonts w:hint="eastAsia" w:ascii="仿宋" w:hAnsi="仿宋" w:eastAsia="仿宋" w:cs="仿宋"/>
          <w:color w:val="FF0000"/>
          <w:szCs w:val="24"/>
        </w:rPr>
        <w:t>（2）在缓缴期间的。该单位失业保险费累计金额包括两部分：202</w:t>
      </w:r>
      <w:r>
        <w:rPr>
          <w:rFonts w:hint="eastAsia" w:ascii="仿宋" w:hAnsi="仿宋" w:eastAsia="仿宋" w:cs="仿宋"/>
          <w:color w:val="FF0000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color w:val="FF0000"/>
          <w:szCs w:val="24"/>
        </w:rPr>
        <w:t>年度（结算期和对应结算期均为202</w:t>
      </w:r>
      <w:r>
        <w:rPr>
          <w:rFonts w:hint="eastAsia" w:ascii="仿宋" w:hAnsi="仿宋" w:eastAsia="仿宋" w:cs="仿宋"/>
          <w:color w:val="FF0000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color w:val="FF0000"/>
          <w:szCs w:val="24"/>
        </w:rPr>
        <w:t>01—202</w:t>
      </w:r>
      <w:r>
        <w:rPr>
          <w:rFonts w:hint="eastAsia" w:ascii="仿宋" w:hAnsi="仿宋" w:eastAsia="仿宋" w:cs="仿宋"/>
          <w:color w:val="FF0000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color w:val="FF0000"/>
          <w:szCs w:val="24"/>
        </w:rPr>
        <w:t>12）征集计划实际到账失业保险费，202</w:t>
      </w:r>
      <w:r>
        <w:rPr>
          <w:rFonts w:hint="eastAsia" w:ascii="仿宋" w:hAnsi="仿宋" w:eastAsia="仿宋" w:cs="仿宋"/>
          <w:color w:val="FF0000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color w:val="FF0000"/>
          <w:szCs w:val="24"/>
        </w:rPr>
        <w:t>年补缴202</w:t>
      </w:r>
      <w:r>
        <w:rPr>
          <w:rFonts w:hint="eastAsia" w:ascii="仿宋" w:hAnsi="仿宋" w:eastAsia="仿宋" w:cs="仿宋"/>
          <w:color w:val="FF0000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color w:val="FF0000"/>
          <w:szCs w:val="24"/>
        </w:rPr>
        <w:t>年缓缴期间且实际到账的失业保险费的金额。</w:t>
      </w:r>
    </w:p>
    <w:p>
      <w:pPr>
        <w:ind w:firstLine="420" w:firstLineChars="200"/>
        <w:rPr>
          <w:rFonts w:hint="eastAsia" w:ascii="仿宋" w:hAnsi="仿宋" w:eastAsia="仿宋" w:cs="仿宋"/>
          <w:color w:val="FF0000"/>
          <w:lang w:eastAsia="zh-CN"/>
        </w:rPr>
      </w:pPr>
      <w:r>
        <w:rPr>
          <w:rFonts w:hint="eastAsia" w:ascii="仿宋" w:hAnsi="仿宋" w:eastAsia="仿宋" w:cs="仿宋"/>
          <w:color w:val="FF0000"/>
        </w:rPr>
        <w:t>8</w:t>
      </w:r>
      <w:r>
        <w:rPr>
          <w:rFonts w:ascii="仿宋" w:hAnsi="仿宋" w:eastAsia="仿宋" w:cs="仿宋"/>
          <w:color w:val="FF0000"/>
        </w:rPr>
        <w:t>.</w:t>
      </w:r>
      <w:r>
        <w:rPr>
          <w:rFonts w:hint="eastAsia" w:ascii="仿宋" w:hAnsi="仿宋" w:eastAsia="仿宋" w:cs="仿宋"/>
          <w:color w:val="FF0000"/>
        </w:rPr>
        <w:t>劳务派遣企业，按照劳务派遣企业标识，在网厅端“稳岗返还申请”和经办端“批量稳岗返还核定”数据筛查口径中，去除劳务派遣企业。网厅端“稳岗返还申请”</w:t>
      </w:r>
      <w:r>
        <w:rPr>
          <w:rFonts w:hint="eastAsia" w:ascii="仿宋" w:hAnsi="仿宋" w:eastAsia="仿宋" w:cs="仿宋"/>
          <w:color w:val="FF0000"/>
          <w:lang w:eastAsia="zh-CN"/>
        </w:rPr>
        <w:t>待有关政策出台后开通。业务阻断并弹窗提示“劳务派遣企业稳岗返还政策，待相关文件出台后再进行办理！”</w:t>
      </w:r>
    </w:p>
    <w:p>
      <w:pPr>
        <w:jc w:val="center"/>
        <w:outlineLvl w:val="0"/>
        <w:rPr>
          <w:rFonts w:ascii="仿宋" w:hAnsi="仿宋" w:eastAsia="仿宋" w:cs="仿宋"/>
        </w:rPr>
      </w:pPr>
    </w:p>
    <w:p>
      <w:pPr>
        <w:jc w:val="center"/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正文</w:t>
      </w:r>
    </w:p>
    <w:p>
      <w:pPr>
        <w:outlineLvl w:val="0"/>
        <w:rPr>
          <w:rFonts w:ascii="仿宋" w:hAnsi="仿宋" w:eastAsia="仿宋" w:cs="仿宋"/>
        </w:rPr>
      </w:pPr>
    </w:p>
    <w:p>
      <w:pPr>
        <w:outlineLvl w:val="0"/>
        <w:rPr>
          <w:rFonts w:ascii="仿宋" w:hAnsi="仿宋" w:eastAsia="仿宋" w:cs="仿宋"/>
          <w:color w:val="FF0000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FF0000"/>
        </w:rPr>
        <w:t>免申请方式</w:t>
      </w:r>
    </w:p>
    <w:p>
      <w:pP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（一）经办机构办理“稳岗返还批量核定”业务。</w:t>
      </w:r>
    </w:p>
    <w:p>
      <w:pP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1.进行批量办理稳岗返还核定业务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36385" cy="2097405"/>
            <wp:effectExtent l="0" t="0" r="8255" b="571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2.稳岗返还批量核定复核审核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589395" cy="3724910"/>
            <wp:effectExtent l="0" t="0" r="9525" b="889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3.稳岗返还批量复核完成后，参保单位未进行</w:t>
      </w:r>
      <w:r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  <w:t>“享受稳岗返还信息确认”，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在公示界面无法公示批量核定的参保单位。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10350" cy="2497455"/>
            <wp:effectExtent l="0" t="0" r="3810" b="190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（二）参保单位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办理“享受稳岗返还确认”业务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1.可通过单位网厅确认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（1）</w:t>
      </w:r>
      <w:r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  <w:t>经办机构通过“稳岗返还批量核定”模块审核通过的参保单位，其经办人员登录单位网厅时信息系统会弹出如下提醒，提醒是否选择进入享受稳岗返还确认。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24955" cy="3195320"/>
            <wp:effectExtent l="0" t="0" r="4445" b="508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（2）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选择“确定”后，进入享受稳岗返还确认界面，此业务显示当前参保单位的稳岗返还核定结果信息。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60515" cy="3040380"/>
            <wp:effectExtent l="0" t="0" r="14605" b="762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（3）参保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单位经办人员在点击“保存”前需要勾选“请认真阅读河南省稳岗返还资政策确认信息”，需要阅读政策说明至少10秒。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6642100" cy="3261995"/>
            <wp:effectExtent l="0" t="0" r="2540" b="14605"/>
            <wp:docPr id="71" name="图片 71" descr="c321be3fcb8ddd1a8dd2fcdfe4132c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321be3fcb8ddd1a8dd2fcdfe4132cf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（4）参保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单位经办人员政策阅读完成后选择是否享受稳岗返还待遇。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73215" cy="3277870"/>
            <wp:effectExtent l="0" t="0" r="1905" b="1397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（5）参保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单位经办人员选择“确认享受”稳岗返还，然后到待办区提交业务，“2024年稳岗返还政策确认单”自动归档，同时也可上传单位证明材料。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27495" cy="3236595"/>
            <wp:effectExtent l="0" t="0" r="1905" b="9525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23685" cy="2701290"/>
            <wp:effectExtent l="0" t="0" r="5715" b="1143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04635" cy="5113020"/>
            <wp:effectExtent l="0" t="0" r="9525" b="762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（6）参保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单位经办人从待办提交业务，此业务为即时办结业务。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61150" cy="2429510"/>
            <wp:effectExtent l="0" t="0" r="13970" b="889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49720" cy="2431415"/>
            <wp:effectExtent l="0" t="0" r="10160" b="6985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（7）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在大厅可以查看办结和提交的单位信息。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24320" cy="2442210"/>
            <wp:effectExtent l="0" t="0" r="5080" b="1143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10985" cy="3874135"/>
            <wp:effectExtent l="0" t="0" r="3175" b="12065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098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（8）参保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单位经办人选择“确认享受”稳岗返还，经办机构经办可在稳岗返还公示界面，查询到参保单位已经选择“确认享受”的单位信息，并进行公示。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59880" cy="2510790"/>
            <wp:effectExtent l="0" t="0" r="0" b="3810"/>
            <wp:docPr id="35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也可通过业务大厅受理岗确认。经办机构进行稳岗返还批量核定后，参保单位通过业务大厅受理岗办理“享受稳岗返还信息确认”。享受稳岗返还确认操作可以重复进行，以最后一次确认结果作为公示依据，公示以后，不允许再做确认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  <w:t>大厅受理稳岗返还确认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03365" cy="1880235"/>
            <wp:effectExtent l="0" t="0" r="10795" b="9525"/>
            <wp:docPr id="41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（2）</w:t>
      </w:r>
      <w:r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  <w:t>大厅办理“享受稳岗返还信息确认”，若存在已经通过“稳岗返还批量核定”办理通过单位可办理此业务，若不存在则不允许办理，选择享受待遇。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21780" cy="2677160"/>
            <wp:effectExtent l="0" t="0" r="7620" b="5080"/>
            <wp:docPr id="42" name="图片 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52895" cy="2686050"/>
            <wp:effectExtent l="0" t="0" r="6985" b="11430"/>
            <wp:docPr id="44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69405" cy="2713355"/>
            <wp:effectExtent l="0" t="0" r="5715" b="14605"/>
            <wp:docPr id="52" name="图片 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（3）</w:t>
      </w:r>
      <w:r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  <w:t>选择享受则可在“稳岗返还公示”中可查看到。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36385" cy="2522855"/>
            <wp:effectExtent l="0" t="0" r="8255" b="6985"/>
            <wp:docPr id="53" name="图片 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（三）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稳岗返还公示。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参保单位选择“享受”稳岗返还后，经办机构可在“稳岗返还公示”查询到已完成批量核定并确认享受待遇的单位，并进行公示。</w:t>
      </w:r>
    </w:p>
    <w:p>
      <w:p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30670" cy="2461895"/>
            <wp:effectExtent l="0" t="0" r="13970" b="6985"/>
            <wp:docPr id="57" name="图片 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仿宋" w:hAnsi="仿宋" w:eastAsia="仿宋" w:cs="仿宋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1"/>
          <w:szCs w:val="21"/>
          <w:lang w:val="en-US" w:eastAsia="zh-CN"/>
        </w:rPr>
        <w:t>（四）参保单位办理“享受稳岗返还信息确认”业务时也可选择“放弃享受”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1.可通过单位网厅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确认放弃享受。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（1）参保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单位经办人员选择“放弃享受”稳岗返还待遇。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34480" cy="3258820"/>
            <wp:effectExtent l="0" t="0" r="10160" b="2540"/>
            <wp:docPr id="58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（2）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参保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单位经办人提交“放弃享受”稳岗返还确认待办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56705" cy="2527300"/>
            <wp:effectExtent l="0" t="0" r="3175" b="2540"/>
            <wp:docPr id="59" name="图片 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39560" cy="3261360"/>
            <wp:effectExtent l="0" t="0" r="5080" b="0"/>
            <wp:docPr id="60" name="图片 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（3）参保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单位放弃享受稳岗返还确认为即时办结业务，大厅可以查看办理业务和材料。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647180" cy="2490470"/>
            <wp:effectExtent l="0" t="0" r="12700" b="8890"/>
            <wp:docPr id="61" name="图片 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5476240" cy="2813685"/>
            <wp:effectExtent l="0" t="0" r="10160" b="5715"/>
            <wp:docPr id="62" name="图片 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（4）当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参保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单位放弃享受稳岗返还，经办人在“稳岗返还公示”模块查询不到放弃单位，无法进行公示。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5481320" cy="2085340"/>
            <wp:effectExtent l="0" t="0" r="5080" b="2540"/>
            <wp:docPr id="64" name="图片 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2.也可通过业务大厅受理岗确认放弃享受。享受稳岗返还确认操作可以重复进行，以最后一次确认结果作为公示依据，公示以后，不允许再做确认。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/>
        </w:rPr>
        <w:t>（1）</w:t>
      </w:r>
      <w:r>
        <w:rPr>
          <w:rFonts w:hint="eastAsia" w:ascii="仿宋" w:hAnsi="仿宋" w:eastAsia="仿宋" w:cs="仿宋"/>
          <w:color w:val="auto"/>
          <w:sz w:val="21"/>
          <w:szCs w:val="21"/>
          <w:highlight w:val="white"/>
          <w:lang w:val="en-US" w:eastAsia="zh-CN"/>
        </w:rPr>
        <w:t>选择“放弃享受”待遇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5472430" cy="2203450"/>
            <wp:effectExtent l="0" t="0" r="13970" b="6350"/>
            <wp:docPr id="65" name="图片 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5472430" cy="2192020"/>
            <wp:effectExtent l="0" t="0" r="13970" b="2540"/>
            <wp:docPr id="69" name="图片 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（2）选择放弃享受待遇“稳岗返还公示”则查询不到此单位无法进行公示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6057265" cy="2270125"/>
            <wp:effectExtent l="0" t="0" r="8255" b="635"/>
            <wp:docPr id="70" name="图片 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color w:val="auto"/>
        </w:rPr>
      </w:pPr>
    </w:p>
    <w:p>
      <w:pPr>
        <w:rPr>
          <w:rFonts w:ascii="仿宋" w:hAnsi="仿宋" w:eastAsia="仿宋" w:cs="仿宋"/>
          <w:color w:val="FF0000"/>
        </w:rPr>
      </w:pPr>
    </w:p>
    <w:p>
      <w:pPr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三、稳岗返还查询、公示、拨付以及支付流程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1.稳岗返还核定信息查询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通过该模块可以查询单位申请的稳岗返还信息。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33210" cy="2713990"/>
            <wp:effectExtent l="0" t="0" r="11430" b="1397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注意：单位管理编码输入框为查询框，录入完成后需要点击回车键或输入框右方的放大镜按钮进行查询，业务年度要和稳岗返还核定业务年度保持一致。</w:t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2.失业保险稳岗返还回退，可对已审批复核过的单位进行回退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40830" cy="2520950"/>
            <wp:effectExtent l="0" t="0" r="3810" b="8890"/>
            <wp:docPr id="2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3.“稳岗返还公示”对已核定单位和未申报核定单位进行公示，下述是已核定过的单位。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（步骤一：进入稳岗返还公示页面，选择“申请年度”、“企业类型”点击查询，可查询出已做过核定单位</w:t>
      </w:r>
    </w:p>
    <w:p>
      <w:pPr>
        <w:ind w:firstLine="210" w:firstLineChars="1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步骤二：查询出结果后，点击“信用校验”，检查公示的单位是否是失信企业。然后复选框选择需要公示的单位，点击下面“公示通过”和“公示不通过”按钮，在公示状态和公示结果会显示；</w:t>
      </w:r>
    </w:p>
    <w:p>
      <w:pPr>
        <w:ind w:firstLine="210" w:firstLineChars="1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步骤三：点击保存，保存公示结果，然后到“稳岗返还拨付”模块可查询已经通过公示的单位</w:t>
      </w:r>
    </w:p>
    <w:p>
      <w:pPr>
        <w:ind w:firstLine="210" w:firstLineChars="1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（备注：已公示通过的单位或者公示未通过的单位，在此页面进行修改调整，步骤如上，已进行拨付过的单位在此页面无法查看）</w:t>
      </w:r>
    </w:p>
    <w:p>
      <w:pPr>
        <w:ind w:firstLine="210" w:firstLineChars="100"/>
        <w:rPr>
          <w:rFonts w:ascii="仿宋" w:hAnsi="仿宋" w:eastAsia="仿宋" w:cs="仿宋"/>
          <w:b/>
          <w:bCs/>
          <w:color w:val="FF0000"/>
        </w:rPr>
      </w:pPr>
      <w:r>
        <w:rPr>
          <w:rFonts w:hint="eastAsia" w:ascii="仿宋" w:hAnsi="仿宋" w:eastAsia="仿宋" w:cs="仿宋"/>
          <w:b/>
          <w:bCs/>
          <w:color w:val="FF0000"/>
        </w:rPr>
        <w:t>关于“信用校验”的规则及操作</w:t>
      </w:r>
    </w:p>
    <w:p>
      <w:pPr>
        <w:ind w:firstLine="210" w:firstLineChars="1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（1）稳岗返还核定信息增加两个字段，“是否失信企业”，“统一信用代码”右下角增加“信用信息核验”按钮。</w:t>
      </w:r>
    </w:p>
    <w:p>
      <w:pPr>
        <w:ind w:firstLine="210" w:firstLineChars="1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（</w:t>
      </w:r>
      <w:r>
        <w:rPr>
          <w:rFonts w:ascii="仿宋" w:hAnsi="仿宋" w:eastAsia="仿宋" w:cs="仿宋"/>
          <w:color w:val="FF0000"/>
        </w:rPr>
        <w:t>2</w:t>
      </w:r>
      <w:r>
        <w:rPr>
          <w:rFonts w:hint="eastAsia" w:ascii="仿宋" w:hAnsi="仿宋" w:eastAsia="仿宋" w:cs="仿宋"/>
          <w:color w:val="FF0000"/>
        </w:rPr>
        <w:t xml:space="preserve">）做公示通过前，先要进行信用信息核验，如果不做信用信息核验，则不能进行公示通过。相关提示如四。 </w:t>
      </w:r>
    </w:p>
    <w:p>
      <w:pPr>
        <w:ind w:firstLine="210" w:firstLineChars="1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（</w:t>
      </w:r>
      <w:r>
        <w:rPr>
          <w:rFonts w:ascii="仿宋" w:hAnsi="仿宋" w:eastAsia="仿宋" w:cs="仿宋"/>
          <w:color w:val="FF0000"/>
        </w:rPr>
        <w:t>3</w:t>
      </w:r>
      <w:r>
        <w:rPr>
          <w:rFonts w:hint="eastAsia" w:ascii="仿宋" w:hAnsi="仿宋" w:eastAsia="仿宋" w:cs="仿宋"/>
          <w:color w:val="FF0000"/>
        </w:rPr>
        <w:t>）点击“信用信息核验”按钮，系统对已选中的单位信息，自动调用失信校验接口，获取“是否失信企业”信息。</w:t>
      </w:r>
    </w:p>
    <w:p>
      <w:pPr>
        <w:ind w:firstLine="210" w:firstLineChars="100"/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（</w:t>
      </w:r>
      <w:r>
        <w:rPr>
          <w:rFonts w:ascii="仿宋" w:hAnsi="仿宋" w:eastAsia="仿宋" w:cs="仿宋"/>
          <w:color w:val="FF0000"/>
        </w:rPr>
        <w:t>4</w:t>
      </w:r>
      <w:r>
        <w:rPr>
          <w:rFonts w:hint="eastAsia" w:ascii="仿宋" w:hAnsi="仿宋" w:eastAsia="仿宋" w:cs="仿宋"/>
          <w:color w:val="FF0000"/>
        </w:rPr>
        <w:t>）点公示通过，系统通过选中单位对应的“是否失信企业”字段值进行判断。如果选中单位存在“是否失信企业”字段为空的，提示：“存在选中有未进行信用信息核验的单位，无法进行公示”；如果选中单位存在“是否失信企业”字段为“是”的，提示：“存在选中有为失信企业的单位，无法进行公示”。</w:t>
      </w:r>
    </w:p>
    <w:p>
      <w:pPr>
        <w:rPr>
          <w:rFonts w:ascii="仿宋" w:hAnsi="仿宋" w:eastAsia="仿宋" w:cs="仿宋"/>
        </w:rPr>
      </w:pPr>
      <w:r>
        <w:drawing>
          <wp:inline distT="0" distB="0" distL="0" distR="0">
            <wp:extent cx="6563995" cy="2597150"/>
            <wp:effectExtent l="0" t="0" r="8255" b="0"/>
            <wp:docPr id="95733075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30755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239" cy="260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5.稳岗返还拨付，对已公示单位，保存需要拨付的单位，此模块可调整最终的发放金额和发放信息调整，信息核对无误后点保存提交，然后到稳岗返还即时拨付计划编制计划。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（步骤一：选择申报年度，选择稳岗返还类型，选择需要保存企业类型，点查询可查询出已做过公示通过的单位信息。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 步骤二：点击需要调整的信息，即可进行调整，可调整发放信息，可删除本次不要拨付单位</w:t>
      </w:r>
    </w:p>
    <w:p>
      <w:pPr>
        <w:ind w:firstLine="210" w:firstLineChars="1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步骤三：核对上述信息对发放金额和发放信息等进行调整，核对无误后可多选选择需要保存的数据，然后保存提交</w:t>
      </w:r>
    </w:p>
    <w:p>
      <w:pPr>
        <w:ind w:firstLine="210" w:firstLineChars="100"/>
        <w:rPr>
          <w:rFonts w:ascii="仿宋" w:hAnsi="仿宋" w:eastAsia="仿宋" w:cs="仿宋"/>
        </w:rPr>
      </w:pPr>
    </w:p>
    <w:p>
      <w:pPr>
        <w:ind w:firstLine="210" w:firstLineChars="1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（注意事项：已公示过单位，在此页面会对保存单位的发放金额进行限额校验，如果超过额度限制提醒不能办理，如下图查看））</w:t>
      </w:r>
    </w:p>
    <w:p>
      <w:pPr>
        <w:ind w:firstLine="210" w:firstLineChars="100"/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41465" cy="2062480"/>
            <wp:effectExtent l="0" t="0" r="3175" b="10160"/>
            <wp:docPr id="3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调整发放金额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37020" cy="2022475"/>
            <wp:effectExtent l="0" t="0" r="7620" b="4445"/>
            <wp:docPr id="3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调整发放信息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35750" cy="2005965"/>
            <wp:effectExtent l="0" t="0" r="8890" b="5715"/>
            <wp:docPr id="3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限额校验提示：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大型企业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44005" cy="2353945"/>
            <wp:effectExtent l="0" t="0" r="635" b="8255"/>
            <wp:docPr id="30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中小型企业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40830" cy="2426970"/>
            <wp:effectExtent l="0" t="0" r="3810" b="11430"/>
            <wp:docPr id="3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可选择调整本次不进行拨付单位，此功能是此页面临时删除，重新查询可以再次加载出来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35115" cy="2207260"/>
            <wp:effectExtent l="0" t="0" r="9525" b="2540"/>
            <wp:docPr id="3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信息确定完成之后选择需要拨付单位，点保存，后续计划与往年一致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37655" cy="2104390"/>
            <wp:effectExtent l="0" t="0" r="6985" b="13970"/>
            <wp:docPr id="40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6.编制稳岗返还即时拨付计划，查询公示的单位进行拨付计划编制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42735" cy="2562225"/>
            <wp:effectExtent l="0" t="0" r="1905" b="13335"/>
            <wp:docPr id="2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7</w:t>
      </w:r>
      <w:r>
        <w:rPr>
          <w:rFonts w:ascii="仿宋" w:hAnsi="仿宋" w:eastAsia="仿宋" w:cs="仿宋"/>
          <w:color w:val="FF0000"/>
        </w:rPr>
        <w:t>.</w:t>
      </w:r>
      <w:r>
        <w:rPr>
          <w:rFonts w:hint="eastAsia"/>
          <w:color w:val="FF0000"/>
        </w:rPr>
        <w:t xml:space="preserve"> </w:t>
      </w:r>
      <w:r>
        <w:rPr>
          <w:rFonts w:hint="eastAsia" w:ascii="仿宋" w:hAnsi="仿宋" w:eastAsia="仿宋" w:cs="仿宋"/>
          <w:color w:val="FF0000"/>
        </w:rPr>
        <w:t>失业保险待遇补贴支付复核</w:t>
      </w:r>
    </w:p>
    <w:p>
      <w:pPr>
        <w:rPr>
          <w:rFonts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基金部门向银行完成支付复核业务时，向企业弹窗推送网厅待办信息，告知稳岗返还资金发放信息，同时再次告知资金使用用途（仅作为发放成功提醒，不做操作）。</w:t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drawing>
          <wp:inline distT="0" distB="0" distL="0" distR="0">
            <wp:extent cx="6645910" cy="2714625"/>
            <wp:effectExtent l="0" t="0" r="2540" b="9525"/>
            <wp:docPr id="188206657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66570" name="图片 1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</w:p>
    <w:p>
      <w:pPr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四、稳岗返还相关参数配置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（1）稳岗返还参数维护（省级），省级根据文件进行额度和返还比例配置，下述为省级配置参数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（配置详细说明：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“经办机构编码”</w:t>
      </w:r>
      <w:r>
        <w:rPr>
          <w:rFonts w:hint="eastAsia" w:ascii="仿宋" w:hAnsi="仿宋" w:eastAsia="仿宋" w:cs="仿宋"/>
        </w:rPr>
        <w:t>配置需要开展稳岗返还的地市；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“有效标志”</w:t>
      </w:r>
      <w:r>
        <w:rPr>
          <w:rFonts w:hint="eastAsia" w:ascii="仿宋" w:hAnsi="仿宋" w:eastAsia="仿宋" w:cs="仿宋"/>
        </w:rPr>
        <w:t>配置此条参数配置是否有效；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“额度上限”（单位：元）</w:t>
      </w:r>
      <w:r>
        <w:rPr>
          <w:rFonts w:hint="eastAsia" w:ascii="仿宋" w:hAnsi="仿宋" w:eastAsia="仿宋" w:cs="仿宋"/>
        </w:rPr>
        <w:t>配置开展经办机构总共金额；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“返还标准上限（大型）”</w:t>
      </w:r>
      <w:r>
        <w:rPr>
          <w:rFonts w:hint="eastAsia" w:ascii="仿宋" w:hAnsi="仿宋" w:eastAsia="仿宋" w:cs="仿宋"/>
        </w:rPr>
        <w:t>配置大型企业稳岗返还比例上限，录入示例比如百分之五十，录入0.5 （大型企业判断为2020年减免政策备案划型单位）；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“返还标准上限（中小微型）”</w:t>
      </w:r>
      <w:r>
        <w:rPr>
          <w:rFonts w:hint="eastAsia" w:ascii="仿宋" w:hAnsi="仿宋" w:eastAsia="仿宋" w:cs="仿宋"/>
        </w:rPr>
        <w:t>配置中小微企业返还比例上限，录入示例比如百分之90，录入0.6；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“开始日期”和“终止日期”</w:t>
      </w:r>
      <w:r>
        <w:rPr>
          <w:rFonts w:hint="eastAsia" w:ascii="仿宋" w:hAnsi="仿宋" w:eastAsia="仿宋" w:cs="仿宋"/>
        </w:rPr>
        <w:t>配置此条配置信息执行有效期开始时间和终止时间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“全省上年度城镇调查失业率控制目标”</w:t>
      </w:r>
      <w:r>
        <w:rPr>
          <w:rFonts w:hint="eastAsia" w:ascii="仿宋" w:hAnsi="仿宋" w:eastAsia="仿宋" w:cs="仿宋"/>
        </w:rPr>
        <w:t>配置失业率控制目标，录入示例比如百分之20，录入0.2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“全省上年度城镇调查失业率控制目标时间点”</w:t>
      </w:r>
      <w:r>
        <w:rPr>
          <w:rFonts w:hint="eastAsia" w:ascii="仿宋" w:hAnsi="仿宋" w:eastAsia="仿宋" w:cs="仿宋"/>
        </w:rPr>
        <w:t>配置时间参数）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42735" cy="2624455"/>
            <wp:effectExtent l="0" t="0" r="1905" b="1206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如果配置的时间有交叉会有如下提示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40830" cy="2552700"/>
            <wp:effectExtent l="0" t="0" r="3810" b="762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当地市参数配置调整完成后省级可以查看配置情况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42100" cy="2608580"/>
            <wp:effectExtent l="0" t="0" r="2540" b="12700"/>
            <wp:docPr id="1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（2）稳岗返还参数维护。地市根据省级配置限额去调整返还比例，以及小微企业和中大型企业限额调整，返还比例和总额度不能大于省级指标，如果超过会出现以下提示，配置完成后点击保存（</w:t>
      </w:r>
      <w:r>
        <w:rPr>
          <w:rFonts w:hint="eastAsia" w:ascii="仿宋" w:hAnsi="仿宋" w:eastAsia="仿宋" w:cs="仿宋"/>
          <w:color w:val="FF0000"/>
        </w:rPr>
        <w:t>地市参数配置注意此模块权限只给市本级失业处人员配置，禁止给各个经办机构配置，限额和比例每次进行调整之后，程序会根据新调整的限额进行核定、判断校验</w:t>
      </w:r>
      <w:r>
        <w:rPr>
          <w:rFonts w:hint="eastAsia" w:ascii="仿宋" w:hAnsi="仿宋" w:eastAsia="仿宋" w:cs="仿宋"/>
        </w:rPr>
        <w:t>）。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（配置详细说明：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“返还标准（大型）”</w:t>
      </w:r>
      <w:r>
        <w:rPr>
          <w:rFonts w:hint="eastAsia" w:ascii="仿宋" w:hAnsi="仿宋" w:eastAsia="仿宋" w:cs="仿宋"/>
        </w:rPr>
        <w:t>配置大型企业稳岗返还比例上限，</w:t>
      </w:r>
      <w:r>
        <w:rPr>
          <w:rFonts w:hint="eastAsia" w:ascii="仿宋" w:hAnsi="仿宋" w:eastAsia="仿宋" w:cs="仿宋"/>
          <w:color w:val="FF0000"/>
        </w:rPr>
        <w:t>录入的比例不允许超过省级设定的比例</w:t>
      </w:r>
      <w:r>
        <w:rPr>
          <w:rFonts w:hint="eastAsia" w:ascii="仿宋" w:hAnsi="仿宋" w:eastAsia="仿宋" w:cs="仿宋"/>
        </w:rPr>
        <w:t>，录入示例比如百分之五十，录入0.5 （大型企业判断为2020年减免政策备案划型单位）；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“返还标准（中小微型）”</w:t>
      </w:r>
      <w:r>
        <w:rPr>
          <w:rFonts w:hint="eastAsia" w:ascii="仿宋" w:hAnsi="仿宋" w:eastAsia="仿宋" w:cs="仿宋"/>
        </w:rPr>
        <w:t>配置中小微企业返还比例上限，</w:t>
      </w:r>
      <w:r>
        <w:rPr>
          <w:rFonts w:hint="eastAsia" w:ascii="仿宋" w:hAnsi="仿宋" w:eastAsia="仿宋" w:cs="仿宋"/>
          <w:color w:val="FF0000"/>
        </w:rPr>
        <w:t>录入的比例不允许超过省级设定的比例，</w:t>
      </w:r>
      <w:r>
        <w:rPr>
          <w:rFonts w:hint="eastAsia" w:ascii="仿宋" w:hAnsi="仿宋" w:eastAsia="仿宋" w:cs="仿宋"/>
        </w:rPr>
        <w:t>录入示例比如百分之六十，录入0.6；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“本次稳岗返还预估资金总量（大型）”</w:t>
      </w:r>
      <w:r>
        <w:rPr>
          <w:rFonts w:hint="eastAsia" w:ascii="仿宋" w:hAnsi="仿宋" w:eastAsia="仿宋" w:cs="仿宋"/>
        </w:rPr>
        <w:t>（单位：元）配置大型企业预计发放金额（元），此项加中小型总金额不允许超过省级限定总额度（大型企业判断为2020年减免政策备案划型单位）；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“本次稳岗返还预估资金总量（中小微型）”</w:t>
      </w:r>
      <w:r>
        <w:rPr>
          <w:rFonts w:hint="eastAsia" w:ascii="仿宋" w:hAnsi="仿宋" w:eastAsia="仿宋" w:cs="仿宋"/>
        </w:rPr>
        <w:t>（单位：元）配置大型企业预计发放金额（元），此项加大型总金额不允许超过省级限定总额度。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）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37020" cy="1702435"/>
            <wp:effectExtent l="0" t="0" r="7620" b="4445"/>
            <wp:docPr id="1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配置比例超过限额提示如下：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36385" cy="2426970"/>
            <wp:effectExtent l="0" t="0" r="8255" b="11430"/>
            <wp:docPr id="1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42100" cy="1812925"/>
            <wp:effectExtent l="0" t="0" r="2540" b="635"/>
            <wp:docPr id="1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失业保险单位发放信息变更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单位网厅、受理岗、经办岗提供“失业保险单位发放信息变更”，方便发放信息有误或者缺失的单位维护发放信息，尽快领取返还资金。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1.单位网厅维护及登录流程与前述一致，不再赘述。这个功能针对有数字证书（CA）的单位，没有数字证书的单位可以通过受理岗或者经办岗提交申请。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114300" distR="114300">
            <wp:extent cx="6644640" cy="2589530"/>
            <wp:effectExtent l="0" t="0" r="0" b="1270"/>
            <wp:docPr id="2" name="图片 2" descr="09bff96cedb68e970d868b84c1c47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bff96cedb68e970d868b84c1c4750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2.单位经办人维护单位发放信息，并提交申请。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114300" distR="114300">
            <wp:extent cx="6645275" cy="3622675"/>
            <wp:effectExtent l="0" t="0" r="14605" b="4445"/>
            <wp:docPr id="34" name="图片 34" descr="7e471e2d4dc0f9ca408b338816ab3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e471e2d4dc0f9ca408b338816ab302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3.经办岗，经办机构基金财务人员审核网厅端单位提交的申请，也可以直接维护指定单位发放信息。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该事项办理层级为经办一级。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114300" distR="114300">
            <wp:extent cx="6635115" cy="1699895"/>
            <wp:effectExtent l="0" t="0" r="9525" b="6985"/>
            <wp:docPr id="68" name="图片 68" descr="378f55bf7485a48c6cff2ce8aa9b6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378f55bf7485a48c6cff2ce8aa9b622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Courier">
    <w:altName w:val="Liberation Mono"/>
    <w:panose1 w:val="02070409020205020404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A00002AF" w:usb1="4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BOdFo9FQIAABs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EEF0FC"/>
    <w:multiLevelType w:val="singleLevel"/>
    <w:tmpl w:val="17EEF0F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BkNTE1OGY0ZThlZjA0MmIyZTUxMjk1MDc0NzkxYTgifQ=="/>
  </w:docVars>
  <w:rsids>
    <w:rsidRoot w:val="00C71A35"/>
    <w:rsid w:val="00057F5D"/>
    <w:rsid w:val="000936F0"/>
    <w:rsid w:val="002828D5"/>
    <w:rsid w:val="00284E34"/>
    <w:rsid w:val="003606BD"/>
    <w:rsid w:val="00391AFD"/>
    <w:rsid w:val="00400BE2"/>
    <w:rsid w:val="00403D9D"/>
    <w:rsid w:val="00431F3B"/>
    <w:rsid w:val="00580D77"/>
    <w:rsid w:val="00641A50"/>
    <w:rsid w:val="00656E55"/>
    <w:rsid w:val="006643E9"/>
    <w:rsid w:val="006B1DBD"/>
    <w:rsid w:val="0073338C"/>
    <w:rsid w:val="007A27F7"/>
    <w:rsid w:val="00933513"/>
    <w:rsid w:val="00936913"/>
    <w:rsid w:val="009A1B30"/>
    <w:rsid w:val="009F3E31"/>
    <w:rsid w:val="00AB2977"/>
    <w:rsid w:val="00B0131B"/>
    <w:rsid w:val="00B07A0A"/>
    <w:rsid w:val="00B64CD2"/>
    <w:rsid w:val="00BA1A14"/>
    <w:rsid w:val="00BC3803"/>
    <w:rsid w:val="00C123DA"/>
    <w:rsid w:val="00C71A35"/>
    <w:rsid w:val="00CB0446"/>
    <w:rsid w:val="00CD33CB"/>
    <w:rsid w:val="00D52569"/>
    <w:rsid w:val="00D818F2"/>
    <w:rsid w:val="00DD42F7"/>
    <w:rsid w:val="00E01958"/>
    <w:rsid w:val="00EB09CF"/>
    <w:rsid w:val="011C2F07"/>
    <w:rsid w:val="012B766D"/>
    <w:rsid w:val="0151659D"/>
    <w:rsid w:val="01640874"/>
    <w:rsid w:val="01F304E1"/>
    <w:rsid w:val="023A6BEF"/>
    <w:rsid w:val="02CD186A"/>
    <w:rsid w:val="02E238FC"/>
    <w:rsid w:val="03311B3B"/>
    <w:rsid w:val="03B97823"/>
    <w:rsid w:val="04E351EB"/>
    <w:rsid w:val="05580004"/>
    <w:rsid w:val="05890A24"/>
    <w:rsid w:val="05BF20E9"/>
    <w:rsid w:val="06791442"/>
    <w:rsid w:val="06963085"/>
    <w:rsid w:val="07353992"/>
    <w:rsid w:val="075A0A77"/>
    <w:rsid w:val="07651243"/>
    <w:rsid w:val="08291EBF"/>
    <w:rsid w:val="083C5A84"/>
    <w:rsid w:val="084606B0"/>
    <w:rsid w:val="089D649D"/>
    <w:rsid w:val="089E421C"/>
    <w:rsid w:val="08C4770B"/>
    <w:rsid w:val="08F81AF9"/>
    <w:rsid w:val="094C39A6"/>
    <w:rsid w:val="096B020A"/>
    <w:rsid w:val="097F2CCF"/>
    <w:rsid w:val="09A87A78"/>
    <w:rsid w:val="0B3B3D9A"/>
    <w:rsid w:val="0B686C03"/>
    <w:rsid w:val="0C19177D"/>
    <w:rsid w:val="0C26185A"/>
    <w:rsid w:val="0DCF1E4A"/>
    <w:rsid w:val="0E741EB3"/>
    <w:rsid w:val="10253330"/>
    <w:rsid w:val="10493548"/>
    <w:rsid w:val="10DC77C9"/>
    <w:rsid w:val="11522CB3"/>
    <w:rsid w:val="11874D14"/>
    <w:rsid w:val="119B7765"/>
    <w:rsid w:val="11D32DA7"/>
    <w:rsid w:val="123B498E"/>
    <w:rsid w:val="12B23875"/>
    <w:rsid w:val="133D15BD"/>
    <w:rsid w:val="13A06E8B"/>
    <w:rsid w:val="13F61FF2"/>
    <w:rsid w:val="146F19BA"/>
    <w:rsid w:val="15204125"/>
    <w:rsid w:val="15AF560D"/>
    <w:rsid w:val="160E5A70"/>
    <w:rsid w:val="161E50BB"/>
    <w:rsid w:val="164B66A6"/>
    <w:rsid w:val="16E759A6"/>
    <w:rsid w:val="181A5221"/>
    <w:rsid w:val="18627EDD"/>
    <w:rsid w:val="18940CBC"/>
    <w:rsid w:val="194934EE"/>
    <w:rsid w:val="19900E6E"/>
    <w:rsid w:val="1CA067A4"/>
    <w:rsid w:val="1CB34F83"/>
    <w:rsid w:val="1CBC1C87"/>
    <w:rsid w:val="1D4C51DB"/>
    <w:rsid w:val="1D7F2728"/>
    <w:rsid w:val="1DDE7C68"/>
    <w:rsid w:val="1E6A2B89"/>
    <w:rsid w:val="1E7001A9"/>
    <w:rsid w:val="1F056076"/>
    <w:rsid w:val="1F752CC0"/>
    <w:rsid w:val="20085A02"/>
    <w:rsid w:val="200B7386"/>
    <w:rsid w:val="200D0299"/>
    <w:rsid w:val="202A45A6"/>
    <w:rsid w:val="206028C2"/>
    <w:rsid w:val="20C64550"/>
    <w:rsid w:val="20D96EFA"/>
    <w:rsid w:val="21931CB2"/>
    <w:rsid w:val="21FD569F"/>
    <w:rsid w:val="22605918"/>
    <w:rsid w:val="22F26B90"/>
    <w:rsid w:val="239B6240"/>
    <w:rsid w:val="256A0CB3"/>
    <w:rsid w:val="259B0511"/>
    <w:rsid w:val="26022107"/>
    <w:rsid w:val="26265313"/>
    <w:rsid w:val="269508FC"/>
    <w:rsid w:val="26B175A5"/>
    <w:rsid w:val="26EB26FF"/>
    <w:rsid w:val="271E5080"/>
    <w:rsid w:val="275903F8"/>
    <w:rsid w:val="27F069E3"/>
    <w:rsid w:val="292078CA"/>
    <w:rsid w:val="29A107B0"/>
    <w:rsid w:val="29F9410A"/>
    <w:rsid w:val="2A211FF1"/>
    <w:rsid w:val="2A6A525E"/>
    <w:rsid w:val="2A9D36CA"/>
    <w:rsid w:val="2AC506F3"/>
    <w:rsid w:val="2B6451E6"/>
    <w:rsid w:val="2B913160"/>
    <w:rsid w:val="2CF151B7"/>
    <w:rsid w:val="2D490186"/>
    <w:rsid w:val="2D566AB5"/>
    <w:rsid w:val="2D875433"/>
    <w:rsid w:val="2DD35F8C"/>
    <w:rsid w:val="2DEB116A"/>
    <w:rsid w:val="2DF40698"/>
    <w:rsid w:val="2F6A72D7"/>
    <w:rsid w:val="2F8A04F2"/>
    <w:rsid w:val="30312549"/>
    <w:rsid w:val="307C1454"/>
    <w:rsid w:val="312548EA"/>
    <w:rsid w:val="32501C72"/>
    <w:rsid w:val="32935879"/>
    <w:rsid w:val="33A865C8"/>
    <w:rsid w:val="33FB785E"/>
    <w:rsid w:val="342E5538"/>
    <w:rsid w:val="346A39E7"/>
    <w:rsid w:val="34CC1E61"/>
    <w:rsid w:val="35561D97"/>
    <w:rsid w:val="355D3727"/>
    <w:rsid w:val="35D40DAF"/>
    <w:rsid w:val="36100BB3"/>
    <w:rsid w:val="366D3C96"/>
    <w:rsid w:val="369C76C7"/>
    <w:rsid w:val="372E76B8"/>
    <w:rsid w:val="379235F2"/>
    <w:rsid w:val="38B71ED4"/>
    <w:rsid w:val="39224D8D"/>
    <w:rsid w:val="39A95DFB"/>
    <w:rsid w:val="3ABF62C0"/>
    <w:rsid w:val="3B1A064F"/>
    <w:rsid w:val="3C207EDD"/>
    <w:rsid w:val="3C4D06E8"/>
    <w:rsid w:val="3CB46418"/>
    <w:rsid w:val="3CC2600C"/>
    <w:rsid w:val="3CEF12A8"/>
    <w:rsid w:val="3D5231C4"/>
    <w:rsid w:val="3D5415F6"/>
    <w:rsid w:val="3D9A025B"/>
    <w:rsid w:val="3DF77F70"/>
    <w:rsid w:val="3E5019EA"/>
    <w:rsid w:val="3E560FA6"/>
    <w:rsid w:val="3F381A52"/>
    <w:rsid w:val="41417A54"/>
    <w:rsid w:val="41A55B15"/>
    <w:rsid w:val="41EF19A2"/>
    <w:rsid w:val="421E3274"/>
    <w:rsid w:val="422D24CC"/>
    <w:rsid w:val="425B5E56"/>
    <w:rsid w:val="42771782"/>
    <w:rsid w:val="42F27D13"/>
    <w:rsid w:val="433B1AC3"/>
    <w:rsid w:val="43EA39D1"/>
    <w:rsid w:val="444B69B0"/>
    <w:rsid w:val="44CD071B"/>
    <w:rsid w:val="45B95455"/>
    <w:rsid w:val="45EB53FB"/>
    <w:rsid w:val="463965B1"/>
    <w:rsid w:val="47F92430"/>
    <w:rsid w:val="480A04F9"/>
    <w:rsid w:val="48417884"/>
    <w:rsid w:val="48EE5C11"/>
    <w:rsid w:val="4ABA5EDF"/>
    <w:rsid w:val="4AD60C78"/>
    <w:rsid w:val="4AF944C0"/>
    <w:rsid w:val="4B5333D2"/>
    <w:rsid w:val="4B7650E2"/>
    <w:rsid w:val="4BD55DAB"/>
    <w:rsid w:val="4C9717E8"/>
    <w:rsid w:val="4CBF5C1D"/>
    <w:rsid w:val="4CD82E6A"/>
    <w:rsid w:val="4E134878"/>
    <w:rsid w:val="4E6125BC"/>
    <w:rsid w:val="4EA94048"/>
    <w:rsid w:val="4EF20E3F"/>
    <w:rsid w:val="4F373D4A"/>
    <w:rsid w:val="50512143"/>
    <w:rsid w:val="51057A09"/>
    <w:rsid w:val="517244BB"/>
    <w:rsid w:val="51EA21AC"/>
    <w:rsid w:val="52A53621"/>
    <w:rsid w:val="52FD3439"/>
    <w:rsid w:val="531C6F70"/>
    <w:rsid w:val="539E20EF"/>
    <w:rsid w:val="53A37986"/>
    <w:rsid w:val="54C0349F"/>
    <w:rsid w:val="54F407B2"/>
    <w:rsid w:val="55067122"/>
    <w:rsid w:val="55537A8F"/>
    <w:rsid w:val="55622573"/>
    <w:rsid w:val="55B071BE"/>
    <w:rsid w:val="56946CF1"/>
    <w:rsid w:val="571E2A29"/>
    <w:rsid w:val="57342B3C"/>
    <w:rsid w:val="57C04BAA"/>
    <w:rsid w:val="57D347C2"/>
    <w:rsid w:val="57EF7FB3"/>
    <w:rsid w:val="583D3EF4"/>
    <w:rsid w:val="586838DD"/>
    <w:rsid w:val="58971EC1"/>
    <w:rsid w:val="58C35A4A"/>
    <w:rsid w:val="58FD436B"/>
    <w:rsid w:val="590E04C1"/>
    <w:rsid w:val="59683172"/>
    <w:rsid w:val="5A034E4C"/>
    <w:rsid w:val="5A667459"/>
    <w:rsid w:val="5BB316E5"/>
    <w:rsid w:val="5C3B7DB7"/>
    <w:rsid w:val="5C49391E"/>
    <w:rsid w:val="5CE46282"/>
    <w:rsid w:val="5D0021C3"/>
    <w:rsid w:val="5D140F1A"/>
    <w:rsid w:val="5D1A2F55"/>
    <w:rsid w:val="5D4B0ADF"/>
    <w:rsid w:val="5D5816D8"/>
    <w:rsid w:val="5DCA7FAD"/>
    <w:rsid w:val="5E857877"/>
    <w:rsid w:val="5EC6240B"/>
    <w:rsid w:val="5F162A82"/>
    <w:rsid w:val="5FB428AD"/>
    <w:rsid w:val="61071F20"/>
    <w:rsid w:val="6174262E"/>
    <w:rsid w:val="622E70BF"/>
    <w:rsid w:val="62304AF7"/>
    <w:rsid w:val="62ED3EE3"/>
    <w:rsid w:val="63C05E67"/>
    <w:rsid w:val="63FE3F46"/>
    <w:rsid w:val="64E76575"/>
    <w:rsid w:val="64EA386B"/>
    <w:rsid w:val="65441B36"/>
    <w:rsid w:val="655E492A"/>
    <w:rsid w:val="657B29A6"/>
    <w:rsid w:val="65C314CA"/>
    <w:rsid w:val="65D57DBE"/>
    <w:rsid w:val="65EA5F2D"/>
    <w:rsid w:val="665B69CA"/>
    <w:rsid w:val="66757D2C"/>
    <w:rsid w:val="66C94E49"/>
    <w:rsid w:val="683100BB"/>
    <w:rsid w:val="685E6966"/>
    <w:rsid w:val="69524006"/>
    <w:rsid w:val="6A34131D"/>
    <w:rsid w:val="6A3C3101"/>
    <w:rsid w:val="6A82754B"/>
    <w:rsid w:val="6AD420E6"/>
    <w:rsid w:val="6B1F76F7"/>
    <w:rsid w:val="6D03046B"/>
    <w:rsid w:val="6D08578E"/>
    <w:rsid w:val="6DB931CC"/>
    <w:rsid w:val="6DD47E68"/>
    <w:rsid w:val="6DEF0276"/>
    <w:rsid w:val="6E6C1A11"/>
    <w:rsid w:val="6E6F16E7"/>
    <w:rsid w:val="6E9A1157"/>
    <w:rsid w:val="6EAB2EBF"/>
    <w:rsid w:val="6EC84A02"/>
    <w:rsid w:val="6FDD5C61"/>
    <w:rsid w:val="6FFA6F69"/>
    <w:rsid w:val="70A14BBC"/>
    <w:rsid w:val="710D4F19"/>
    <w:rsid w:val="715313FC"/>
    <w:rsid w:val="71CA0846"/>
    <w:rsid w:val="723A77CE"/>
    <w:rsid w:val="724F6079"/>
    <w:rsid w:val="72675D21"/>
    <w:rsid w:val="727727D0"/>
    <w:rsid w:val="73AC571E"/>
    <w:rsid w:val="73CB1062"/>
    <w:rsid w:val="74CC4880"/>
    <w:rsid w:val="75027563"/>
    <w:rsid w:val="75150CD9"/>
    <w:rsid w:val="75255610"/>
    <w:rsid w:val="75546842"/>
    <w:rsid w:val="756A1766"/>
    <w:rsid w:val="75C642BF"/>
    <w:rsid w:val="77386C0C"/>
    <w:rsid w:val="77C421A3"/>
    <w:rsid w:val="782842E9"/>
    <w:rsid w:val="796C09F8"/>
    <w:rsid w:val="799043B8"/>
    <w:rsid w:val="799D347E"/>
    <w:rsid w:val="79C96978"/>
    <w:rsid w:val="7A3871B4"/>
    <w:rsid w:val="7A674811"/>
    <w:rsid w:val="7AEC59B3"/>
    <w:rsid w:val="7BCB5585"/>
    <w:rsid w:val="7CB47242"/>
    <w:rsid w:val="7CC32C63"/>
    <w:rsid w:val="7E6E60F6"/>
    <w:rsid w:val="7EC23A1D"/>
    <w:rsid w:val="7EDE0355"/>
    <w:rsid w:val="7FBF351C"/>
    <w:rsid w:val="7FFA57B2"/>
    <w:rsid w:val="EE71A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9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libri Light" w:hAnsi="Calibri Light" w:eastAsia="宋体" w:cs="Times New Roman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footnote text"/>
    <w:basedOn w:val="1"/>
    <w:link w:val="25"/>
    <w:qFormat/>
    <w:uiPriority w:val="99"/>
    <w:pPr>
      <w:snapToGrid w:val="0"/>
      <w:jc w:val="left"/>
    </w:pPr>
    <w:rPr>
      <w:rFonts w:ascii="Times New Roman" w:hAnsi="Times New Roman" w:eastAsia="宋体" w:cs="Times New Roman"/>
      <w:szCs w:val="22"/>
    </w:rPr>
  </w:style>
  <w:style w:type="character" w:styleId="12">
    <w:name w:val="Strong"/>
    <w:basedOn w:val="11"/>
    <w:qFormat/>
    <w:uiPriority w:val="0"/>
  </w:style>
  <w:style w:type="character" w:styleId="13">
    <w:name w:val="Emphasis"/>
    <w:basedOn w:val="11"/>
    <w:qFormat/>
    <w:uiPriority w:val="0"/>
  </w:style>
  <w:style w:type="character" w:styleId="14">
    <w:name w:val="HTML Definition"/>
    <w:basedOn w:val="11"/>
    <w:qFormat/>
    <w:uiPriority w:val="0"/>
  </w:style>
  <w:style w:type="character" w:styleId="15">
    <w:name w:val="HTML Acronym"/>
    <w:basedOn w:val="11"/>
    <w:qFormat/>
    <w:uiPriority w:val="0"/>
  </w:style>
  <w:style w:type="character" w:styleId="16">
    <w:name w:val="HTML Variable"/>
    <w:basedOn w:val="11"/>
    <w:qFormat/>
    <w:uiPriority w:val="0"/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styleId="18">
    <w:name w:val="HTML Code"/>
    <w:basedOn w:val="11"/>
    <w:qFormat/>
    <w:uiPriority w:val="0"/>
    <w:rPr>
      <w:rFonts w:ascii="Courier" w:hAnsi="Courier" w:cs="Courier"/>
      <w:sz w:val="27"/>
      <w:szCs w:val="27"/>
      <w:bdr w:val="single" w:color="CCCCCC" w:sz="4" w:space="0"/>
      <w:shd w:val="clear" w:color="auto" w:fill="EFEFEF"/>
    </w:rPr>
  </w:style>
  <w:style w:type="character" w:styleId="19">
    <w:name w:val="HTML Cite"/>
    <w:basedOn w:val="11"/>
    <w:qFormat/>
    <w:uiPriority w:val="0"/>
  </w:style>
  <w:style w:type="character" w:customStyle="1" w:styleId="20">
    <w:name w:val="l-selected"/>
    <w:basedOn w:val="11"/>
    <w:qFormat/>
    <w:uiPriority w:val="0"/>
    <w:rPr>
      <w:color w:val="355686"/>
      <w:bdr w:val="single" w:color="DAB364" w:sz="4" w:space="0"/>
      <w:shd w:val="clear" w:color="auto" w:fill="FFFFFF"/>
    </w:rPr>
  </w:style>
  <w:style w:type="character" w:customStyle="1" w:styleId="21">
    <w:name w:val="l-open"/>
    <w:basedOn w:val="11"/>
    <w:qFormat/>
    <w:uiPriority w:val="0"/>
  </w:style>
  <w:style w:type="character" w:customStyle="1" w:styleId="22">
    <w:name w:val="l-over"/>
    <w:basedOn w:val="11"/>
    <w:qFormat/>
    <w:uiPriority w:val="0"/>
    <w:rPr>
      <w:bdr w:val="single" w:color="DAB364" w:sz="4" w:space="0"/>
    </w:rPr>
  </w:style>
  <w:style w:type="character" w:customStyle="1" w:styleId="23">
    <w:name w:val="标题 2 字符"/>
    <w:link w:val="3"/>
    <w:qFormat/>
    <w:uiPriority w:val="0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24">
    <w:name w:val="标题 3 字符"/>
    <w:link w:val="4"/>
    <w:qFormat/>
    <w:uiPriority w:val="0"/>
    <w:rPr>
      <w:b/>
      <w:bCs/>
      <w:sz w:val="32"/>
      <w:szCs w:val="32"/>
    </w:rPr>
  </w:style>
  <w:style w:type="character" w:customStyle="1" w:styleId="25">
    <w:name w:val="脚注文本 字符"/>
    <w:basedOn w:val="11"/>
    <w:link w:val="9"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6154</Words>
  <Characters>6403</Characters>
  <Lines>51</Lines>
  <Paragraphs>14</Paragraphs>
  <TotalTime>2</TotalTime>
  <ScaleCrop>false</ScaleCrop>
  <LinksUpToDate>false</LinksUpToDate>
  <CharactersWithSpaces>6421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2023-08-22T14:53:00Z</dcterms:created>
  <dc:creator>qwj</dc:creator>
  <cp:lastModifiedBy>inspur</cp:lastModifiedBy>
  <dcterms:modified xsi:type="dcterms:W3CDTF">2024-07-30T14:11:54Z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0259F0B8E8B247F9B1C1BE47BAD24ED8_13</vt:lpwstr>
  </property>
</Properties>
</file>