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年度三门峡市职称申报工作时间安排表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543"/>
        <w:gridCol w:w="2268"/>
        <w:gridCol w:w="1276"/>
        <w:gridCol w:w="1701"/>
        <w:gridCol w:w="1210"/>
        <w:gridCol w:w="1857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评委会名称/系列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个人申报时间</w:t>
            </w:r>
            <w:r>
              <w:rPr>
                <w:color w:val="auto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auto"/>
                <w:szCs w:val="21"/>
                <w:highlight w:val="none"/>
              </w:rPr>
              <w:t>（不含退回修改时间）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相关部门审核时间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评委会接收材料与审核时间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联系人与联系电话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是否报送纸质材料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报送地点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rFonts w:hint="eastAsia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三门峡市中小学教师副高级职称评审委员会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、三门峡市农村中小学教师副高级职称评审委员会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10.1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szCs w:val="21"/>
                <w:highlight w:val="none"/>
              </w:rPr>
              <w:t>-10.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10.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/>
                <w:color w:val="auto"/>
                <w:szCs w:val="21"/>
                <w:highlight w:val="none"/>
              </w:rPr>
              <w:t>-10.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10.26-10.28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武培雅2816613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按照评委会承办部门要求报送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市教育局人事科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3543" w:type="dxa"/>
          </w:tcPr>
          <w:p>
            <w:pPr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三门峡市卫生系列副高级职称评审委员会、三门峡市卫生系列基层卫生副高级职称评审委员会、</w:t>
            </w:r>
            <w:r>
              <w:rPr>
                <w:rFonts w:hint="eastAsia"/>
                <w:color w:val="auto"/>
                <w:szCs w:val="21"/>
                <w:highlight w:val="none"/>
              </w:rPr>
              <w:t>三门峡市卫生系列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乡镇社区</w:t>
            </w:r>
            <w:r>
              <w:rPr>
                <w:rFonts w:hint="eastAsia"/>
                <w:color w:val="auto"/>
                <w:szCs w:val="21"/>
                <w:highlight w:val="none"/>
              </w:rPr>
              <w:t>副高级职称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评审</w:t>
            </w:r>
            <w:r>
              <w:rPr>
                <w:rFonts w:hint="eastAsia"/>
                <w:color w:val="auto"/>
                <w:szCs w:val="21"/>
                <w:highlight w:val="none"/>
              </w:rPr>
              <w:t>委员会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10.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color w:val="auto"/>
                <w:szCs w:val="21"/>
                <w:highlight w:val="none"/>
              </w:rPr>
              <w:t>-1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</w:rPr>
              <w:t>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10.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color w:val="auto"/>
                <w:szCs w:val="21"/>
                <w:highlight w:val="none"/>
              </w:rPr>
              <w:t>.-1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</w:rPr>
              <w:t>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10.31-11.4                   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张国雄</w:t>
            </w:r>
          </w:p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15939873323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按照评委会承办部门要求报送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市审批中心卫健委窗口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三门峡市农业系列中级职称评审委员会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10.1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</w:rPr>
              <w:t>-10.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10.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Cs w:val="21"/>
                <w:highlight w:val="none"/>
              </w:rPr>
              <w:t>-10.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10.1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szCs w:val="21"/>
                <w:highlight w:val="none"/>
              </w:rPr>
              <w:t>-10.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杨文庆</w:t>
            </w:r>
          </w:p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15239873802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按照评委会承办部门要求报送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三门峡市农业农村局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中等职业学校教师、技工院校教师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10.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color w:val="auto"/>
                <w:szCs w:val="21"/>
                <w:highlight w:val="none"/>
              </w:rPr>
              <w:t>-10.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10.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color w:val="auto"/>
                <w:szCs w:val="21"/>
                <w:highlight w:val="none"/>
              </w:rPr>
              <w:t>-10.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10.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焦长兵</w:t>
            </w:r>
          </w:p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2775360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评审表3份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三门峡市人社局501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三门峡市中小学教师中级职称评审委员会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10.1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szCs w:val="21"/>
                <w:highlight w:val="none"/>
              </w:rPr>
              <w:t>-10.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10.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/>
                <w:color w:val="auto"/>
                <w:szCs w:val="21"/>
                <w:highlight w:val="none"/>
              </w:rPr>
              <w:t>-10.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10.26-10.28</w:t>
            </w:r>
            <w:bookmarkStart w:id="0" w:name="_GoBack"/>
            <w:bookmarkEnd w:id="0"/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武培雅2816613</w:t>
            </w:r>
          </w:p>
        </w:tc>
        <w:tc>
          <w:tcPr>
            <w:tcW w:w="1857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按照评委会承办部门要求报送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市教育局人事科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rFonts w:hint="eastAsia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三门峡市中小学教师中级职称卢氏县评审委员会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10.20-10.31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10.20-11.4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center" w:pos="803"/>
                <w:tab w:val="right" w:pos="1485"/>
              </w:tabs>
              <w:jc w:val="center"/>
              <w:rPr>
                <w:rFonts w:hint="default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11.1-11.7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郑亚妮</w:t>
            </w:r>
            <w:r>
              <w:rPr>
                <w:rFonts w:hint="eastAsia"/>
                <w:color w:val="auto"/>
                <w:highlight w:val="none"/>
              </w:rPr>
              <w:t>78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86051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按照评委会承办部门要求报送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卢氏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县</w:t>
            </w:r>
            <w:r>
              <w:rPr>
                <w:rFonts w:hint="eastAsia"/>
                <w:color w:val="auto"/>
                <w:highlight w:val="none"/>
              </w:rPr>
              <w:t>教体局人事股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三门峡市中小学教师中级职称渑池县评审委员会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10.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/>
                <w:color w:val="auto"/>
                <w:szCs w:val="21"/>
                <w:highlight w:val="none"/>
              </w:rPr>
              <w:t>-1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</w:rPr>
              <w:t>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11.5-11.22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渑池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人社局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另行通知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曹艺峰 4819696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按照评委会承办部门要求报送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渑池县教育体育局人事股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三门峡市中小学教师中级职称义马市评审委员会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10.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color w:val="auto"/>
                <w:szCs w:val="21"/>
                <w:highlight w:val="none"/>
              </w:rPr>
              <w:t>-</w:t>
            </w: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</w:rPr>
              <w:t>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10.8-10.30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义马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人社局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另行通知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杜苏伟</w:t>
            </w:r>
            <w:r>
              <w:rPr>
                <w:color w:val="auto"/>
                <w:szCs w:val="21"/>
                <w:highlight w:val="none"/>
              </w:rPr>
              <w:t>2786216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按照评委会承办部门要求报送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义马市教体局人事计划科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 w:cs="Times New Roman"/>
                <w:color w:val="auto"/>
                <w:szCs w:val="21"/>
                <w:highlight w:val="none"/>
              </w:rPr>
              <w:t>三门峡市中小学教师中级职称陕州区评审委员会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10.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17</w:t>
            </w:r>
            <w:r>
              <w:rPr>
                <w:rFonts w:hint="eastAsia"/>
                <w:color w:val="auto"/>
                <w:highlight w:val="none"/>
              </w:rPr>
              <w:t>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10.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17</w:t>
            </w:r>
            <w:r>
              <w:rPr>
                <w:rFonts w:hint="eastAsia"/>
                <w:color w:val="auto"/>
                <w:highlight w:val="none"/>
              </w:rPr>
              <w:t>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陕州区人社局另行通知</w:t>
            </w:r>
          </w:p>
        </w:tc>
        <w:tc>
          <w:tcPr>
            <w:tcW w:w="1210" w:type="dxa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曹芳  </w:t>
            </w:r>
          </w:p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3834090</w:t>
            </w:r>
          </w:p>
        </w:tc>
        <w:tc>
          <w:tcPr>
            <w:tcW w:w="1857" w:type="dxa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按照评委会承办部门要求报送</w:t>
            </w:r>
          </w:p>
        </w:tc>
        <w:tc>
          <w:tcPr>
            <w:tcW w:w="1785" w:type="dxa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陕州区教育体育局人事股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三门峡市中小学教师中级职称灵宝市评审委员会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10.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</w:rPr>
              <w:t>-10.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10.8-</w:t>
            </w:r>
            <w:r>
              <w:rPr>
                <w:rFonts w:hint="eastAsia"/>
                <w:color w:val="auto"/>
                <w:szCs w:val="21"/>
                <w:highlight w:val="none"/>
              </w:rPr>
              <w:t>10.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灵宝人社局另行通知</w:t>
            </w:r>
          </w:p>
        </w:tc>
        <w:tc>
          <w:tcPr>
            <w:tcW w:w="1210" w:type="dxa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高英</w:t>
            </w:r>
          </w:p>
          <w:p>
            <w:pPr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8656175</w:t>
            </w:r>
          </w:p>
        </w:tc>
        <w:tc>
          <w:tcPr>
            <w:tcW w:w="1857" w:type="dxa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按照评委会承办部门要求报送</w:t>
            </w:r>
          </w:p>
        </w:tc>
        <w:tc>
          <w:tcPr>
            <w:tcW w:w="1785" w:type="dxa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灵宝市教育服务大厅</w:t>
            </w:r>
          </w:p>
        </w:tc>
      </w:tr>
    </w:tbl>
    <w:p>
      <w:pPr>
        <w:rPr>
          <w:color w:val="FF0000"/>
        </w:rPr>
      </w:pPr>
      <w:r>
        <w:rPr>
          <w:rFonts w:hint="eastAsia"/>
        </w:rPr>
        <w:t>备注：1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申报人员较少或三门峡不具备评审权限的系列专业委托</w:t>
      </w:r>
      <w:r>
        <w:rPr>
          <w:rFonts w:hint="eastAsia"/>
          <w:lang w:eastAsia="zh-CN"/>
        </w:rPr>
        <w:t>其他地</w:t>
      </w:r>
      <w:r>
        <w:rPr>
          <w:rFonts w:hint="eastAsia"/>
        </w:rPr>
        <w:t>市或省直部门评审；</w:t>
      </w:r>
    </w:p>
    <w:p>
      <w:pPr>
        <w:ind w:firstLine="630" w:firstLineChars="300"/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示范区中小学中级</w:t>
      </w:r>
      <w:r>
        <w:rPr>
          <w:rFonts w:hint="eastAsia"/>
          <w:lang w:eastAsia="zh-CN"/>
        </w:rPr>
        <w:t>、</w:t>
      </w:r>
      <w:r>
        <w:rPr>
          <w:rFonts w:hint="eastAsia"/>
        </w:rPr>
        <w:t>湖滨区中小学中级委托市教育局进行；</w:t>
      </w:r>
    </w:p>
    <w:p>
      <w:pPr>
        <w:ind w:firstLine="630" w:firstLineChars="300"/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各系列申报评审材料按照评委会承办部门要求报送；</w:t>
      </w:r>
    </w:p>
    <w:p>
      <w:pPr>
        <w:ind w:firstLine="630" w:firstLineChars="300"/>
      </w:pPr>
      <w:r>
        <w:rPr>
          <w:rFonts w:hint="eastAsia"/>
        </w:rPr>
        <w:t>4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评审表必须使用系统</w:t>
      </w:r>
      <w:r>
        <w:rPr>
          <w:rFonts w:hint="eastAsia"/>
          <w:lang w:eastAsia="zh-CN"/>
        </w:rPr>
        <w:t>双面</w:t>
      </w:r>
      <w:r>
        <w:rPr>
          <w:rFonts w:hint="eastAsia"/>
        </w:rPr>
        <w:t>打印，不收取个人填写的评审表；</w:t>
      </w:r>
    </w:p>
    <w:p>
      <w:pPr>
        <w:ind w:firstLine="630" w:firstLineChars="300"/>
        <w:rPr>
          <w:rFonts w:hint="eastAsia" w:eastAsiaTheme="minorEastAsia"/>
          <w:lang w:val="en-US" w:eastAsia="zh-CN"/>
        </w:rPr>
      </w:pPr>
      <w:r>
        <w:rPr>
          <w:rFonts w:hint="eastAsia"/>
        </w:rPr>
        <w:t>5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有面试答辩环节人员请关注职称申报系统个人账户通知</w:t>
      </w:r>
      <w:r>
        <w:rPr>
          <w:rFonts w:hint="eastAsia"/>
          <w:lang w:eastAsia="zh-CN"/>
        </w:rPr>
        <w:t>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MDA4NzJhYjFlZTIzYjZlNWVjMDM4MmVlMTgxZjUifQ=="/>
  </w:docVars>
  <w:rsids>
    <w:rsidRoot w:val="00442EC8"/>
    <w:rsid w:val="00004192"/>
    <w:rsid w:val="00020C78"/>
    <w:rsid w:val="00023310"/>
    <w:rsid w:val="00027FA3"/>
    <w:rsid w:val="00032E97"/>
    <w:rsid w:val="000331CF"/>
    <w:rsid w:val="00035A0B"/>
    <w:rsid w:val="00057C7B"/>
    <w:rsid w:val="0006004D"/>
    <w:rsid w:val="00073FAB"/>
    <w:rsid w:val="00082444"/>
    <w:rsid w:val="00083F71"/>
    <w:rsid w:val="00092C54"/>
    <w:rsid w:val="000A3B59"/>
    <w:rsid w:val="000E1AE6"/>
    <w:rsid w:val="000F06DD"/>
    <w:rsid w:val="000F3707"/>
    <w:rsid w:val="001328EE"/>
    <w:rsid w:val="001404F3"/>
    <w:rsid w:val="00166B59"/>
    <w:rsid w:val="00176343"/>
    <w:rsid w:val="00194E0F"/>
    <w:rsid w:val="001A191C"/>
    <w:rsid w:val="001A609E"/>
    <w:rsid w:val="001B5C41"/>
    <w:rsid w:val="001B6541"/>
    <w:rsid w:val="001C760F"/>
    <w:rsid w:val="001E2A59"/>
    <w:rsid w:val="001F19E0"/>
    <w:rsid w:val="001F39B9"/>
    <w:rsid w:val="001F75D0"/>
    <w:rsid w:val="00200CEC"/>
    <w:rsid w:val="00200D54"/>
    <w:rsid w:val="0020512D"/>
    <w:rsid w:val="00233F38"/>
    <w:rsid w:val="00234153"/>
    <w:rsid w:val="002410F2"/>
    <w:rsid w:val="002413E0"/>
    <w:rsid w:val="00242A08"/>
    <w:rsid w:val="00265624"/>
    <w:rsid w:val="00267D8B"/>
    <w:rsid w:val="00272CCC"/>
    <w:rsid w:val="00275406"/>
    <w:rsid w:val="00277314"/>
    <w:rsid w:val="002815CE"/>
    <w:rsid w:val="00283763"/>
    <w:rsid w:val="0028671C"/>
    <w:rsid w:val="002937A8"/>
    <w:rsid w:val="00296B25"/>
    <w:rsid w:val="002C70BF"/>
    <w:rsid w:val="002D1608"/>
    <w:rsid w:val="002D1714"/>
    <w:rsid w:val="002D6D07"/>
    <w:rsid w:val="002E2190"/>
    <w:rsid w:val="002E27E7"/>
    <w:rsid w:val="002F65C9"/>
    <w:rsid w:val="003037A9"/>
    <w:rsid w:val="00313E22"/>
    <w:rsid w:val="0032086A"/>
    <w:rsid w:val="00322F6F"/>
    <w:rsid w:val="003241CF"/>
    <w:rsid w:val="00326011"/>
    <w:rsid w:val="00337D6C"/>
    <w:rsid w:val="0034659D"/>
    <w:rsid w:val="00350CE6"/>
    <w:rsid w:val="00356D05"/>
    <w:rsid w:val="00360B9D"/>
    <w:rsid w:val="0038146B"/>
    <w:rsid w:val="00395BE8"/>
    <w:rsid w:val="003A6754"/>
    <w:rsid w:val="003B28D3"/>
    <w:rsid w:val="003B4840"/>
    <w:rsid w:val="003C2DB4"/>
    <w:rsid w:val="003D2AC8"/>
    <w:rsid w:val="003F003D"/>
    <w:rsid w:val="003F1DC1"/>
    <w:rsid w:val="004411E2"/>
    <w:rsid w:val="004418EF"/>
    <w:rsid w:val="004423E8"/>
    <w:rsid w:val="00442EC8"/>
    <w:rsid w:val="00471541"/>
    <w:rsid w:val="0047730C"/>
    <w:rsid w:val="00490AB7"/>
    <w:rsid w:val="004928D4"/>
    <w:rsid w:val="00495206"/>
    <w:rsid w:val="0049700A"/>
    <w:rsid w:val="00497ADF"/>
    <w:rsid w:val="004B5656"/>
    <w:rsid w:val="004C43D4"/>
    <w:rsid w:val="004C710C"/>
    <w:rsid w:val="004D5CFE"/>
    <w:rsid w:val="004F3F9F"/>
    <w:rsid w:val="004F4B6A"/>
    <w:rsid w:val="00516563"/>
    <w:rsid w:val="00517030"/>
    <w:rsid w:val="005204BB"/>
    <w:rsid w:val="00534060"/>
    <w:rsid w:val="00540A98"/>
    <w:rsid w:val="00540ABC"/>
    <w:rsid w:val="005477FF"/>
    <w:rsid w:val="00550680"/>
    <w:rsid w:val="005572BF"/>
    <w:rsid w:val="00580B48"/>
    <w:rsid w:val="0058231D"/>
    <w:rsid w:val="00596419"/>
    <w:rsid w:val="0059685E"/>
    <w:rsid w:val="005E7B97"/>
    <w:rsid w:val="005F3745"/>
    <w:rsid w:val="00600E15"/>
    <w:rsid w:val="00623625"/>
    <w:rsid w:val="00674707"/>
    <w:rsid w:val="00690167"/>
    <w:rsid w:val="006A19DB"/>
    <w:rsid w:val="006B52A7"/>
    <w:rsid w:val="006B7833"/>
    <w:rsid w:val="006D2974"/>
    <w:rsid w:val="006D67FA"/>
    <w:rsid w:val="006D6BB1"/>
    <w:rsid w:val="006E467E"/>
    <w:rsid w:val="00702454"/>
    <w:rsid w:val="00703939"/>
    <w:rsid w:val="00706FB7"/>
    <w:rsid w:val="0071495E"/>
    <w:rsid w:val="00721E88"/>
    <w:rsid w:val="00727679"/>
    <w:rsid w:val="0073326F"/>
    <w:rsid w:val="00734ADA"/>
    <w:rsid w:val="0073663B"/>
    <w:rsid w:val="0076661E"/>
    <w:rsid w:val="0077318B"/>
    <w:rsid w:val="007731C0"/>
    <w:rsid w:val="00786BC6"/>
    <w:rsid w:val="0079005B"/>
    <w:rsid w:val="007A5C9D"/>
    <w:rsid w:val="007B0D0A"/>
    <w:rsid w:val="007B2FB1"/>
    <w:rsid w:val="007B3D47"/>
    <w:rsid w:val="007B65F0"/>
    <w:rsid w:val="007D00E7"/>
    <w:rsid w:val="007D34C8"/>
    <w:rsid w:val="007D3BAB"/>
    <w:rsid w:val="007D4FC7"/>
    <w:rsid w:val="007D5A28"/>
    <w:rsid w:val="007E5A85"/>
    <w:rsid w:val="007F09AE"/>
    <w:rsid w:val="007F2B69"/>
    <w:rsid w:val="00804D13"/>
    <w:rsid w:val="00807632"/>
    <w:rsid w:val="008321B3"/>
    <w:rsid w:val="0083576E"/>
    <w:rsid w:val="0085551A"/>
    <w:rsid w:val="0086008F"/>
    <w:rsid w:val="008715FA"/>
    <w:rsid w:val="008B080A"/>
    <w:rsid w:val="008B2497"/>
    <w:rsid w:val="008D6570"/>
    <w:rsid w:val="008D7A69"/>
    <w:rsid w:val="008E18AA"/>
    <w:rsid w:val="00902480"/>
    <w:rsid w:val="0091712C"/>
    <w:rsid w:val="00925938"/>
    <w:rsid w:val="00927883"/>
    <w:rsid w:val="00953A68"/>
    <w:rsid w:val="00955DF8"/>
    <w:rsid w:val="00972E47"/>
    <w:rsid w:val="009C7323"/>
    <w:rsid w:val="009D5306"/>
    <w:rsid w:val="009E17AF"/>
    <w:rsid w:val="009E208F"/>
    <w:rsid w:val="009E4A1B"/>
    <w:rsid w:val="009F1FD1"/>
    <w:rsid w:val="00A0528C"/>
    <w:rsid w:val="00A258B1"/>
    <w:rsid w:val="00A449F0"/>
    <w:rsid w:val="00A545E2"/>
    <w:rsid w:val="00A840D3"/>
    <w:rsid w:val="00A84415"/>
    <w:rsid w:val="00A90289"/>
    <w:rsid w:val="00AB460C"/>
    <w:rsid w:val="00AC3182"/>
    <w:rsid w:val="00AC35AE"/>
    <w:rsid w:val="00AC771B"/>
    <w:rsid w:val="00AD0F94"/>
    <w:rsid w:val="00AE66EB"/>
    <w:rsid w:val="00AE7D87"/>
    <w:rsid w:val="00AF4F51"/>
    <w:rsid w:val="00B03319"/>
    <w:rsid w:val="00B12F52"/>
    <w:rsid w:val="00B258C9"/>
    <w:rsid w:val="00B3562F"/>
    <w:rsid w:val="00B40833"/>
    <w:rsid w:val="00B41E2A"/>
    <w:rsid w:val="00B617A7"/>
    <w:rsid w:val="00B61918"/>
    <w:rsid w:val="00B65D30"/>
    <w:rsid w:val="00B900D3"/>
    <w:rsid w:val="00B92935"/>
    <w:rsid w:val="00BB713C"/>
    <w:rsid w:val="00BC6A96"/>
    <w:rsid w:val="00BD3F32"/>
    <w:rsid w:val="00BD6F30"/>
    <w:rsid w:val="00BF50B5"/>
    <w:rsid w:val="00C11E7D"/>
    <w:rsid w:val="00C21659"/>
    <w:rsid w:val="00C22D92"/>
    <w:rsid w:val="00C3122B"/>
    <w:rsid w:val="00C322D5"/>
    <w:rsid w:val="00C334B1"/>
    <w:rsid w:val="00C34F33"/>
    <w:rsid w:val="00C36A10"/>
    <w:rsid w:val="00C36AD3"/>
    <w:rsid w:val="00C401C9"/>
    <w:rsid w:val="00C52F88"/>
    <w:rsid w:val="00C60399"/>
    <w:rsid w:val="00C640D6"/>
    <w:rsid w:val="00C72E44"/>
    <w:rsid w:val="00C81BC2"/>
    <w:rsid w:val="00C87574"/>
    <w:rsid w:val="00CA04A6"/>
    <w:rsid w:val="00CA4729"/>
    <w:rsid w:val="00CB411B"/>
    <w:rsid w:val="00CB6BAE"/>
    <w:rsid w:val="00CF1626"/>
    <w:rsid w:val="00CF1B72"/>
    <w:rsid w:val="00CF5698"/>
    <w:rsid w:val="00D04ED1"/>
    <w:rsid w:val="00D12C6D"/>
    <w:rsid w:val="00D26518"/>
    <w:rsid w:val="00D330F6"/>
    <w:rsid w:val="00D44199"/>
    <w:rsid w:val="00D50EDE"/>
    <w:rsid w:val="00D6531D"/>
    <w:rsid w:val="00D871ED"/>
    <w:rsid w:val="00D9060E"/>
    <w:rsid w:val="00D94FA9"/>
    <w:rsid w:val="00D96C6E"/>
    <w:rsid w:val="00D97E0B"/>
    <w:rsid w:val="00DC11C7"/>
    <w:rsid w:val="00DC3EF4"/>
    <w:rsid w:val="00DC529E"/>
    <w:rsid w:val="00DF3AD5"/>
    <w:rsid w:val="00DF53A5"/>
    <w:rsid w:val="00DF59E2"/>
    <w:rsid w:val="00E05B14"/>
    <w:rsid w:val="00E149A4"/>
    <w:rsid w:val="00E347B4"/>
    <w:rsid w:val="00E3583E"/>
    <w:rsid w:val="00E40A74"/>
    <w:rsid w:val="00E51B72"/>
    <w:rsid w:val="00E639AA"/>
    <w:rsid w:val="00E8034B"/>
    <w:rsid w:val="00E90E39"/>
    <w:rsid w:val="00EB3368"/>
    <w:rsid w:val="00EC1F80"/>
    <w:rsid w:val="00ED7052"/>
    <w:rsid w:val="00ED7B3B"/>
    <w:rsid w:val="00EE4205"/>
    <w:rsid w:val="00EF4A0C"/>
    <w:rsid w:val="00EF4FBD"/>
    <w:rsid w:val="00F04D2B"/>
    <w:rsid w:val="00F07901"/>
    <w:rsid w:val="00F3137E"/>
    <w:rsid w:val="00F31552"/>
    <w:rsid w:val="00F43387"/>
    <w:rsid w:val="00F53827"/>
    <w:rsid w:val="00F84000"/>
    <w:rsid w:val="00F84C1B"/>
    <w:rsid w:val="00F94E34"/>
    <w:rsid w:val="00FA0428"/>
    <w:rsid w:val="00FA2647"/>
    <w:rsid w:val="00FD356A"/>
    <w:rsid w:val="00FE5EA2"/>
    <w:rsid w:val="00FF0493"/>
    <w:rsid w:val="013E3C85"/>
    <w:rsid w:val="014025D7"/>
    <w:rsid w:val="022B7330"/>
    <w:rsid w:val="038A7027"/>
    <w:rsid w:val="039D18E6"/>
    <w:rsid w:val="048E7480"/>
    <w:rsid w:val="04C335CE"/>
    <w:rsid w:val="04DC322D"/>
    <w:rsid w:val="050365EC"/>
    <w:rsid w:val="056F1D04"/>
    <w:rsid w:val="0594428F"/>
    <w:rsid w:val="05A62644"/>
    <w:rsid w:val="069A00BF"/>
    <w:rsid w:val="07243358"/>
    <w:rsid w:val="07B82E64"/>
    <w:rsid w:val="08ED4BE5"/>
    <w:rsid w:val="09D56F68"/>
    <w:rsid w:val="0A2B5413"/>
    <w:rsid w:val="0A306CF1"/>
    <w:rsid w:val="0AF41D22"/>
    <w:rsid w:val="0BB64CCB"/>
    <w:rsid w:val="0C134FCC"/>
    <w:rsid w:val="0D18551F"/>
    <w:rsid w:val="0D5E1E89"/>
    <w:rsid w:val="0D674748"/>
    <w:rsid w:val="0DE025A6"/>
    <w:rsid w:val="0E75074B"/>
    <w:rsid w:val="0F2300D9"/>
    <w:rsid w:val="0F232409"/>
    <w:rsid w:val="0FA43CD4"/>
    <w:rsid w:val="10097BE1"/>
    <w:rsid w:val="10D17073"/>
    <w:rsid w:val="113044A5"/>
    <w:rsid w:val="13CB090B"/>
    <w:rsid w:val="14E01462"/>
    <w:rsid w:val="15D80F01"/>
    <w:rsid w:val="15D8303E"/>
    <w:rsid w:val="16680CCD"/>
    <w:rsid w:val="172E3953"/>
    <w:rsid w:val="174756B4"/>
    <w:rsid w:val="17DA4CDF"/>
    <w:rsid w:val="184476E6"/>
    <w:rsid w:val="18666A9E"/>
    <w:rsid w:val="1892738B"/>
    <w:rsid w:val="18D366AC"/>
    <w:rsid w:val="19060D2E"/>
    <w:rsid w:val="19847137"/>
    <w:rsid w:val="19C074E9"/>
    <w:rsid w:val="1B0F3784"/>
    <w:rsid w:val="1D76017A"/>
    <w:rsid w:val="1D8D67C0"/>
    <w:rsid w:val="1DA61E39"/>
    <w:rsid w:val="1DDD21BF"/>
    <w:rsid w:val="1FBD5171"/>
    <w:rsid w:val="207150AE"/>
    <w:rsid w:val="20C242E2"/>
    <w:rsid w:val="21021F22"/>
    <w:rsid w:val="22232020"/>
    <w:rsid w:val="225F3661"/>
    <w:rsid w:val="22C1079C"/>
    <w:rsid w:val="22E310C5"/>
    <w:rsid w:val="2346562A"/>
    <w:rsid w:val="240C17B6"/>
    <w:rsid w:val="24EF696E"/>
    <w:rsid w:val="250A6257"/>
    <w:rsid w:val="254F77B3"/>
    <w:rsid w:val="270F54C0"/>
    <w:rsid w:val="271C167D"/>
    <w:rsid w:val="277E4DDB"/>
    <w:rsid w:val="27E5552A"/>
    <w:rsid w:val="28E66C79"/>
    <w:rsid w:val="29CE7D54"/>
    <w:rsid w:val="2A613E08"/>
    <w:rsid w:val="2A61588F"/>
    <w:rsid w:val="2B5F7F28"/>
    <w:rsid w:val="2CFE4579"/>
    <w:rsid w:val="2D4C26D3"/>
    <w:rsid w:val="2D6D0511"/>
    <w:rsid w:val="2E0E356D"/>
    <w:rsid w:val="2E7C7BC0"/>
    <w:rsid w:val="2EB87B2D"/>
    <w:rsid w:val="2F0B3EA9"/>
    <w:rsid w:val="2F976087"/>
    <w:rsid w:val="30874481"/>
    <w:rsid w:val="3164658E"/>
    <w:rsid w:val="32AA766C"/>
    <w:rsid w:val="338474F4"/>
    <w:rsid w:val="34611B28"/>
    <w:rsid w:val="34B01CD5"/>
    <w:rsid w:val="35391436"/>
    <w:rsid w:val="358F07D3"/>
    <w:rsid w:val="362656B1"/>
    <w:rsid w:val="366A0510"/>
    <w:rsid w:val="3677394A"/>
    <w:rsid w:val="369847C4"/>
    <w:rsid w:val="36CF3ECC"/>
    <w:rsid w:val="3729447F"/>
    <w:rsid w:val="37B778A2"/>
    <w:rsid w:val="382036A8"/>
    <w:rsid w:val="386D5023"/>
    <w:rsid w:val="38E37361"/>
    <w:rsid w:val="38E60173"/>
    <w:rsid w:val="39143B9D"/>
    <w:rsid w:val="398722A6"/>
    <w:rsid w:val="39B77B00"/>
    <w:rsid w:val="3A41673F"/>
    <w:rsid w:val="3BD322AF"/>
    <w:rsid w:val="3D6C115C"/>
    <w:rsid w:val="3DF06474"/>
    <w:rsid w:val="3E7C60D0"/>
    <w:rsid w:val="3EBA4D6D"/>
    <w:rsid w:val="3FF81A15"/>
    <w:rsid w:val="400302C2"/>
    <w:rsid w:val="404C6895"/>
    <w:rsid w:val="420B39CE"/>
    <w:rsid w:val="441C5641"/>
    <w:rsid w:val="46431725"/>
    <w:rsid w:val="46933EA7"/>
    <w:rsid w:val="46C238C5"/>
    <w:rsid w:val="472F6522"/>
    <w:rsid w:val="491D49D9"/>
    <w:rsid w:val="4962010A"/>
    <w:rsid w:val="49DA2492"/>
    <w:rsid w:val="4A144652"/>
    <w:rsid w:val="4A38723F"/>
    <w:rsid w:val="4A9D1543"/>
    <w:rsid w:val="4C5E7C66"/>
    <w:rsid w:val="4CF80F08"/>
    <w:rsid w:val="4D3925CE"/>
    <w:rsid w:val="4D3E1B7B"/>
    <w:rsid w:val="4F31731A"/>
    <w:rsid w:val="4F341512"/>
    <w:rsid w:val="506B03A1"/>
    <w:rsid w:val="50AE4778"/>
    <w:rsid w:val="51207C1E"/>
    <w:rsid w:val="5212481A"/>
    <w:rsid w:val="52306339"/>
    <w:rsid w:val="5479386A"/>
    <w:rsid w:val="554A77AB"/>
    <w:rsid w:val="55A94A6F"/>
    <w:rsid w:val="56DD1259"/>
    <w:rsid w:val="571B337B"/>
    <w:rsid w:val="573237CF"/>
    <w:rsid w:val="576D3E29"/>
    <w:rsid w:val="58E21BA5"/>
    <w:rsid w:val="593B43B1"/>
    <w:rsid w:val="5A387390"/>
    <w:rsid w:val="5A87719D"/>
    <w:rsid w:val="5ABE7B61"/>
    <w:rsid w:val="5AD65F14"/>
    <w:rsid w:val="5CF41F3C"/>
    <w:rsid w:val="5DBB5AC5"/>
    <w:rsid w:val="5EA11C6C"/>
    <w:rsid w:val="5FC92AC2"/>
    <w:rsid w:val="5FFF2C61"/>
    <w:rsid w:val="605A4E75"/>
    <w:rsid w:val="60B603F8"/>
    <w:rsid w:val="61B657AB"/>
    <w:rsid w:val="62724414"/>
    <w:rsid w:val="62CF10AD"/>
    <w:rsid w:val="636D1E22"/>
    <w:rsid w:val="64AD1F11"/>
    <w:rsid w:val="652F709E"/>
    <w:rsid w:val="65C15528"/>
    <w:rsid w:val="66096CE2"/>
    <w:rsid w:val="66A13328"/>
    <w:rsid w:val="673B6807"/>
    <w:rsid w:val="677D6550"/>
    <w:rsid w:val="691B6765"/>
    <w:rsid w:val="699473E9"/>
    <w:rsid w:val="6A4C645E"/>
    <w:rsid w:val="6C4F6CD1"/>
    <w:rsid w:val="6C6243C1"/>
    <w:rsid w:val="6C83461C"/>
    <w:rsid w:val="6CE12889"/>
    <w:rsid w:val="6D076285"/>
    <w:rsid w:val="6DEC41C0"/>
    <w:rsid w:val="6E30759A"/>
    <w:rsid w:val="6F6E52BB"/>
    <w:rsid w:val="700F321C"/>
    <w:rsid w:val="7060279C"/>
    <w:rsid w:val="70A57D6A"/>
    <w:rsid w:val="711564DC"/>
    <w:rsid w:val="711B12D0"/>
    <w:rsid w:val="71E11D4E"/>
    <w:rsid w:val="73304F55"/>
    <w:rsid w:val="735C2B21"/>
    <w:rsid w:val="738421F0"/>
    <w:rsid w:val="73F24D41"/>
    <w:rsid w:val="740E25F9"/>
    <w:rsid w:val="742B39F7"/>
    <w:rsid w:val="7445019C"/>
    <w:rsid w:val="747366B0"/>
    <w:rsid w:val="74AA3A0E"/>
    <w:rsid w:val="75E5641A"/>
    <w:rsid w:val="76312F35"/>
    <w:rsid w:val="76627B79"/>
    <w:rsid w:val="76683458"/>
    <w:rsid w:val="775B7D39"/>
    <w:rsid w:val="78AF3985"/>
    <w:rsid w:val="78DB1852"/>
    <w:rsid w:val="78FF4927"/>
    <w:rsid w:val="79E461EC"/>
    <w:rsid w:val="7A2859D8"/>
    <w:rsid w:val="7BAE6336"/>
    <w:rsid w:val="7BB132BB"/>
    <w:rsid w:val="7C774546"/>
    <w:rsid w:val="7EEA30D5"/>
    <w:rsid w:val="7EFE4A9C"/>
    <w:rsid w:val="7F4E6AF5"/>
    <w:rsid w:val="7FE2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0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DB2CE-0C47-44A7-814E-15B706C406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819</Words>
  <Characters>1137</Characters>
  <Lines>13</Lines>
  <Paragraphs>3</Paragraphs>
  <TotalTime>0</TotalTime>
  <ScaleCrop>false</ScaleCrop>
  <LinksUpToDate>false</LinksUpToDate>
  <CharactersWithSpaces>1159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2020-09-27T00:52:00Z</dcterms:created>
  <dc:creator>PC</dc:creator>
  <cp:lastModifiedBy>zjk</cp:lastModifiedBy>
  <cp:lastPrinted>2022-10-08T03:52:00Z</cp:lastPrinted>
  <dcterms:modified xsi:type="dcterms:W3CDTF">2022-10-08T07:47:09Z</dcterms:modified>
  <cp:revision>259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61A1BC8F56BE4876BFFF4C24AE09CD90</vt:lpwstr>
  </property>
</Properties>
</file>